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61EA391D"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1B7DC9">
        <w:rPr>
          <w:rFonts w:ascii="Arial" w:hAnsi="Arial" w:cs="Arial"/>
          <w:b/>
          <w:bCs/>
          <w:sz w:val="28"/>
        </w:rPr>
        <w:t>00955</w:t>
      </w:r>
    </w:p>
    <w:p w14:paraId="1F172407" w14:textId="415F09BE"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54D777A"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w:t>
      </w:r>
      <w:r w:rsidR="003E6E73">
        <w:rPr>
          <w:rFonts w:eastAsia="ＭＳ 明朝"/>
          <w:sz w:val="22"/>
          <w:szCs w:val="22"/>
          <w:lang w:val="en-US"/>
        </w:rPr>
        <w:t>procedure(</w:t>
      </w:r>
      <w:r w:rsidR="00484F06">
        <w:rPr>
          <w:rFonts w:eastAsia="ＭＳ 明朝"/>
          <w:sz w:val="22"/>
          <w:szCs w:val="22"/>
          <w:lang w:val="en-US"/>
        </w:rPr>
        <w:t>s</w:t>
      </w:r>
      <w:r w:rsidR="003E6E73">
        <w:rPr>
          <w:rFonts w:eastAsia="ＭＳ 明朝"/>
          <w:sz w:val="22"/>
          <w:szCs w:val="22"/>
          <w:lang w:val="en-US"/>
        </w:rPr>
        <w:t>)</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F31F155" w14:textId="77777777" w:rsidR="003E6E73" w:rsidRPr="003E6E73" w:rsidRDefault="003E6E73" w:rsidP="003E6E73">
            <w:pPr>
              <w:ind w:left="568" w:hanging="284"/>
              <w:rPr>
                <w:rFonts w:eastAsia="游明朝"/>
                <w:sz w:val="20"/>
              </w:rPr>
            </w:pPr>
            <w:r w:rsidRPr="003E6E73">
              <w:rPr>
                <w:rFonts w:eastAsia="游明朝" w:hint="eastAsia"/>
                <w:sz w:val="20"/>
              </w:rPr>
              <w:t>-</w:t>
            </w:r>
            <w:r w:rsidRPr="003E6E73">
              <w:rPr>
                <w:rFonts w:eastAsia="游明朝" w:hint="eastAsia"/>
                <w:sz w:val="20"/>
              </w:rPr>
              <w:tab/>
            </w:r>
            <w:r w:rsidRPr="003E6E73">
              <w:rPr>
                <w:rFonts w:eastAsia="游明朝"/>
                <w:sz w:val="20"/>
              </w:rPr>
              <w:t>Physical layer procedure(s) including [RAN1, RAN2]</w:t>
            </w:r>
            <w:r w:rsidRPr="003E6E73">
              <w:rPr>
                <w:rFonts w:eastAsia="游明朝" w:hint="eastAsia"/>
                <w:sz w:val="20"/>
              </w:rPr>
              <w:t>:</w:t>
            </w:r>
          </w:p>
          <w:p w14:paraId="6A04334D" w14:textId="77777777" w:rsidR="003E6E73" w:rsidRPr="003E6E73" w:rsidRDefault="003E6E73" w:rsidP="003E6E73">
            <w:pPr>
              <w:ind w:left="851" w:hanging="284"/>
              <w:rPr>
                <w:rFonts w:eastAsia="游明朝"/>
                <w:sz w:val="20"/>
                <w:lang w:eastAsia="en-GB"/>
              </w:rPr>
            </w:pPr>
            <w:r w:rsidRPr="003E6E73">
              <w:rPr>
                <w:rFonts w:eastAsia="游明朝" w:hint="eastAsia"/>
                <w:sz w:val="20"/>
              </w:rPr>
              <w:t>-</w:t>
            </w:r>
            <w:r w:rsidRPr="003E6E73">
              <w:rPr>
                <w:rFonts w:eastAsia="游明朝" w:hint="eastAsia"/>
                <w:sz w:val="20"/>
              </w:rPr>
              <w:tab/>
            </w:r>
            <w:r w:rsidRPr="003E6E73">
              <w:rPr>
                <w:rFonts w:eastAsia="游明朝"/>
                <w:sz w:val="20"/>
              </w:rPr>
              <w:t xml:space="preserve">For LBE, channel access </w:t>
            </w:r>
            <w:r w:rsidRPr="003E6E73">
              <w:rPr>
                <w:rFonts w:eastAsia="游明朝"/>
                <w:sz w:val="20"/>
                <w:lang w:eastAsia="en-GB"/>
              </w:rPr>
              <w:t>mechanism in line with agreements from the NR-U study item (TR 38.889, Section 7.2.1.3.1). Specification work to be performed by RAN1.</w:t>
            </w:r>
          </w:p>
          <w:p w14:paraId="3E3100B1"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78F45978"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51194242"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 </w:t>
            </w:r>
          </w:p>
          <w:p w14:paraId="510FCCF2"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Scheduling request: specify required NR modifications due to LBT failure</w:t>
            </w:r>
            <w:r w:rsidRPr="003E6E73">
              <w:rPr>
                <w:rFonts w:eastAsia="游明朝"/>
                <w:sz w:val="20"/>
                <w:lang w:eastAsia="en-GB"/>
              </w:rPr>
              <w:t xml:space="preserve"> </w:t>
            </w:r>
            <w:r w:rsidRPr="003E6E73">
              <w:rPr>
                <w:rFonts w:eastAsia="游明朝"/>
                <w:sz w:val="20"/>
              </w:rPr>
              <w:t>in line with agreements during the study phase. (RAN1/RAN2)</w:t>
            </w:r>
          </w:p>
          <w:p w14:paraId="66363A20"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3E6E73">
              <w:rPr>
                <w:rFonts w:eastAsia="游明朝"/>
                <w:sz w:val="20"/>
                <w:lang w:eastAsia="x-none"/>
              </w:rPr>
              <w:t>DRS Measurement Time Configuration</w:t>
            </w:r>
            <w:r w:rsidRPr="003E6E73">
              <w:rPr>
                <w:rFonts w:eastAsia="游明朝"/>
                <w:sz w:val="20"/>
              </w:rPr>
              <w:t xml:space="preserve"> (DMTCs) for RRM and RLM respectively</w:t>
            </w:r>
            <w:r w:rsidRPr="003E6E73">
              <w:rPr>
                <w:rFonts w:eastAsia="Malgun Gothic" w:hint="eastAsia"/>
                <w:sz w:val="20"/>
                <w:lang w:eastAsia="ko-KR"/>
              </w:rPr>
              <w:t>,</w:t>
            </w:r>
            <w:r w:rsidRPr="003E6E73">
              <w:rPr>
                <w:rFonts w:eastAsia="Malgun Gothic"/>
                <w:sz w:val="20"/>
                <w:lang w:eastAsia="ko-KR"/>
              </w:rPr>
              <w:t xml:space="preserve"> </w:t>
            </w:r>
            <w:r w:rsidRPr="003E6E73">
              <w:rPr>
                <w:rFonts w:eastAsia="游明朝"/>
                <w:sz w:val="20"/>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4960D223"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r>
            <w:bookmarkStart w:id="2" w:name="_Hlk532426838"/>
            <w:r w:rsidRPr="003E6E73">
              <w:rPr>
                <w:rFonts w:eastAsia="游明朝"/>
                <w:sz w:val="20"/>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226A73DD"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Scheduling multiple TTIs for PUSCH in-line with agreements from the study phase (TR 38.889, Section 7.2.1.3.3). (RAN1)</w:t>
            </w:r>
          </w:p>
          <w:p w14:paraId="68EBB562"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Configured Grant operation: NR Type-1 and Type-2 configured grant mechanisms are the baseline for NR-U operation with modifications in line with agreements during the study phase (NR-U TR section 7.2.1.3.4). (RAN1)</w:t>
            </w:r>
          </w:p>
          <w:p w14:paraId="359A511C"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CSI: NR Rel-15 CSI feedback mechanism is the baseline for NR-U operation. Enhancements can be considered in line with agreements from the NR-U study item (e.g., TR 38.889, Section 7.2.1.3.1). (RAN1)</w:t>
            </w:r>
          </w:p>
          <w:p w14:paraId="607EE953" w14:textId="4F569672" w:rsidR="00764120" w:rsidRPr="003E6E73" w:rsidRDefault="003E6E73" w:rsidP="003E6E73">
            <w:pPr>
              <w:ind w:left="851" w:hanging="284"/>
              <w:rPr>
                <w:rFonts w:eastAsia="游明朝"/>
                <w:strike/>
                <w:sz w:val="20"/>
              </w:rPr>
            </w:pPr>
            <w:r w:rsidRPr="003E6E73">
              <w:rPr>
                <w:rFonts w:eastAsia="游明朝"/>
                <w:sz w:val="20"/>
              </w:rPr>
              <w:lastRenderedPageBreak/>
              <w:t xml:space="preserve">- </w:t>
            </w:r>
            <w:r w:rsidRPr="003E6E73">
              <w:rPr>
                <w:rFonts w:eastAsia="游明朝"/>
                <w:sz w:val="20"/>
              </w:rPr>
              <w:tab/>
              <w:t xml:space="preserve">Data </w:t>
            </w:r>
            <w:r w:rsidRPr="003E6E73">
              <w:rPr>
                <w:rFonts w:eastAsia="游明朝"/>
                <w:sz w:val="20"/>
                <w:lang w:eastAsia="en-GB"/>
              </w:rPr>
              <w:t>multiplexing aspects (for both UL and DL) considering LBT and channel access priorities. (RAN1/RAN2)</w:t>
            </w:r>
          </w:p>
        </w:tc>
      </w:tr>
    </w:tbl>
    <w:p w14:paraId="631A6163" w14:textId="6FE1B1FA"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lastRenderedPageBreak/>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43BD9BFF"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E53AAE9" w:rsidR="004D7B4A" w:rsidRPr="00EA4CFF" w:rsidRDefault="004D7B4A" w:rsidP="004D7B4A">
      <w:pPr>
        <w:pStyle w:val="2"/>
        <w:rPr>
          <w:sz w:val="22"/>
          <w:szCs w:val="22"/>
        </w:rPr>
      </w:pPr>
      <w:r>
        <w:rPr>
          <w:rFonts w:hint="eastAsia"/>
          <w:sz w:val="22"/>
          <w:szCs w:val="22"/>
        </w:rPr>
        <w:t>2.1</w:t>
      </w:r>
      <w:r>
        <w:rPr>
          <w:rFonts w:hint="eastAsia"/>
          <w:sz w:val="22"/>
          <w:szCs w:val="22"/>
        </w:rPr>
        <w:tab/>
      </w:r>
      <w:r>
        <w:rPr>
          <w:sz w:val="22"/>
          <w:szCs w:val="22"/>
        </w:rPr>
        <w:t xml:space="preserve">High level </w:t>
      </w:r>
      <w:r w:rsidR="00C966B0">
        <w:rPr>
          <w:sz w:val="22"/>
          <w:szCs w:val="22"/>
        </w:rPr>
        <w:t xml:space="preserve">views on NR-U </w:t>
      </w:r>
      <w:r>
        <w:rPr>
          <w:sz w:val="22"/>
          <w:szCs w:val="22"/>
        </w:rPr>
        <w:t>design principle</w:t>
      </w:r>
    </w:p>
    <w:p w14:paraId="2BBEB2BF" w14:textId="05B9D935" w:rsidR="004D7B4A" w:rsidRDefault="00C966B0" w:rsidP="004D7B4A">
      <w:pPr>
        <w:spacing w:afterLines="50" w:after="120"/>
        <w:rPr>
          <w:sz w:val="22"/>
          <w:szCs w:val="22"/>
        </w:rPr>
      </w:pPr>
      <w:r>
        <w:rPr>
          <w:rFonts w:hint="eastAsia"/>
          <w:sz w:val="22"/>
          <w:szCs w:val="22"/>
        </w:rPr>
        <w:t>As below</w:t>
      </w:r>
      <w:r>
        <w:rPr>
          <w:sz w:val="22"/>
          <w:szCs w:val="22"/>
        </w:rPr>
        <w:t xml:space="preserve"> in [1]</w:t>
      </w:r>
      <w:r>
        <w:rPr>
          <w:rFonts w:hint="eastAsia"/>
          <w:sz w:val="22"/>
          <w:szCs w:val="22"/>
        </w:rPr>
        <w:t xml:space="preserve">, NR-U WI </w:t>
      </w:r>
      <w:r>
        <w:rPr>
          <w:sz w:val="22"/>
          <w:szCs w:val="22"/>
        </w:rPr>
        <w:t>targets to support five scenarios including SA, CA with licensed NR, DC with licensed LTE and DC with licensed NR.</w:t>
      </w:r>
    </w:p>
    <w:tbl>
      <w:tblPr>
        <w:tblStyle w:val="afa"/>
        <w:tblW w:w="0" w:type="auto"/>
        <w:tblLook w:val="04A0" w:firstRow="1" w:lastRow="0" w:firstColumn="1" w:lastColumn="0" w:noHBand="0" w:noVBand="1"/>
      </w:tblPr>
      <w:tblGrid>
        <w:gridCol w:w="9962"/>
      </w:tblGrid>
      <w:tr w:rsidR="00C966B0" w14:paraId="4FF2AB43" w14:textId="77777777" w:rsidTr="00C966B0">
        <w:tc>
          <w:tcPr>
            <w:tcW w:w="9962" w:type="dxa"/>
          </w:tcPr>
          <w:p w14:paraId="7F93BDE6" w14:textId="77777777" w:rsidR="00C966B0" w:rsidRPr="00C966B0" w:rsidRDefault="00C966B0" w:rsidP="00C966B0">
            <w:pPr>
              <w:rPr>
                <w:rFonts w:eastAsia="游明朝"/>
                <w:bCs/>
                <w:sz w:val="20"/>
                <w:lang w:eastAsia="en-GB"/>
              </w:rPr>
            </w:pPr>
            <w:r w:rsidRPr="00C966B0">
              <w:rPr>
                <w:rFonts w:eastAsia="游明朝"/>
                <w:bCs/>
                <w:sz w:val="20"/>
                <w:lang w:eastAsia="en-GB"/>
              </w:rPr>
              <w:t xml:space="preserve">This work item is aimed at supporting the following scenarios: </w:t>
            </w:r>
          </w:p>
          <w:p w14:paraId="61E91A63"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 xml:space="preserve">Scenario A: Carrier aggregation between licensed band NR (PCell) and NR-U (SCell). </w:t>
            </w:r>
          </w:p>
          <w:p w14:paraId="46A62F4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NR-U SCell may have both DL and UL, or DL-only.</w:t>
            </w:r>
          </w:p>
          <w:p w14:paraId="7071163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 PCell is connected to 5G-CN.</w:t>
            </w:r>
          </w:p>
          <w:p w14:paraId="3D6EA1F0"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B: Dual connectivity between licensed band LTE (PCell) and NR-U (PSCell)</w:t>
            </w:r>
          </w:p>
          <w:p w14:paraId="58473932"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In this scenario, LTE PCell connected to EPC as higher priority than PCell connected to 5G-CN. </w:t>
            </w:r>
          </w:p>
          <w:p w14:paraId="3F6A182B"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C: Stand-alone NR-U</w:t>
            </w:r>
          </w:p>
          <w:p w14:paraId="642DFDC4"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536D215E"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D: A stand-alone NR cell in unlicensed band and UL in licensed band (single cell architecture).</w:t>
            </w:r>
          </w:p>
          <w:p w14:paraId="1CA5F2D6"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2561AD7F"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 xml:space="preserve">Scenario E: Dual connectivity between licensed band NR and NR-U. </w:t>
            </w:r>
          </w:p>
          <w:p w14:paraId="2EA01FDA" w14:textId="285E89CF"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PCell is connected to 5G-CN.</w:t>
            </w:r>
          </w:p>
        </w:tc>
      </w:tr>
    </w:tbl>
    <w:p w14:paraId="1E5A8A80" w14:textId="74D5281B" w:rsidR="00C966B0" w:rsidRDefault="00C966B0" w:rsidP="004D7B4A">
      <w:pPr>
        <w:spacing w:afterLines="50" w:after="120"/>
        <w:rPr>
          <w:sz w:val="22"/>
          <w:szCs w:val="22"/>
        </w:rPr>
      </w:pPr>
    </w:p>
    <w:p w14:paraId="30707D89" w14:textId="6FB26C55" w:rsidR="000E4D0A" w:rsidRDefault="000E4D0A" w:rsidP="004D7B4A">
      <w:pPr>
        <w:spacing w:afterLines="50" w:after="120"/>
        <w:rPr>
          <w:sz w:val="22"/>
          <w:szCs w:val="22"/>
        </w:rPr>
      </w:pPr>
      <w:r>
        <w:rPr>
          <w:rFonts w:hint="eastAsia"/>
          <w:sz w:val="22"/>
          <w:szCs w:val="22"/>
        </w:rPr>
        <w:t>The WI scope seems too large for the agreed TU</w:t>
      </w:r>
      <w:r>
        <w:rPr>
          <w:sz w:val="22"/>
          <w:szCs w:val="22"/>
        </w:rPr>
        <w:t xml:space="preserve"> and completion target if all possible enhancements for NR-U discussed during SI will be further discussed and specified. RAN1 should consider a priority among five scenarios, and an enhancement for NR-U should be specified only when it is deemed necessary to operate NR-U appropriately</w:t>
      </w:r>
      <w:r w:rsidR="00EE10D2">
        <w:rPr>
          <w:sz w:val="22"/>
          <w:szCs w:val="22"/>
        </w:rPr>
        <w:t xml:space="preserve"> in high priority scenario(s)</w:t>
      </w:r>
      <w:r>
        <w:rPr>
          <w:sz w:val="22"/>
          <w:szCs w:val="22"/>
        </w:rPr>
        <w:t xml:space="preserve">. In other words, an enhancement for further flexibility/optimization should be deprioritized </w:t>
      </w:r>
      <w:r w:rsidR="00EE10D2">
        <w:rPr>
          <w:sz w:val="22"/>
          <w:szCs w:val="22"/>
        </w:rPr>
        <w:t>as well as an enhancement necessary/preferred for low priority scenario(s).</w:t>
      </w:r>
      <w:r w:rsidR="00712F37">
        <w:rPr>
          <w:sz w:val="22"/>
          <w:szCs w:val="22"/>
        </w:rPr>
        <w:t xml:space="preserve"> </w:t>
      </w:r>
      <w:r w:rsidR="002337CF">
        <w:rPr>
          <w:sz w:val="22"/>
          <w:szCs w:val="22"/>
        </w:rPr>
        <w:t>Even f</w:t>
      </w:r>
      <w:r w:rsidR="00712F37">
        <w:rPr>
          <w:sz w:val="22"/>
          <w:szCs w:val="22"/>
        </w:rPr>
        <w:t>or an enhancement for NR-U to support a functionality already supported in LTE-LAA, RAN1 should consider differences between LTE and NR designs.</w:t>
      </w:r>
    </w:p>
    <w:p w14:paraId="3D363D01" w14:textId="65EB70B2" w:rsidR="00C966B0" w:rsidRDefault="00EE10D2" w:rsidP="004D7B4A">
      <w:pPr>
        <w:spacing w:afterLines="50" w:after="120"/>
        <w:rPr>
          <w:sz w:val="22"/>
          <w:szCs w:val="22"/>
        </w:rPr>
      </w:pPr>
      <w:r>
        <w:rPr>
          <w:sz w:val="22"/>
          <w:szCs w:val="22"/>
        </w:rPr>
        <w:t>In terms of potential HARQ enhancements, RAN1 should consider following aspects.</w:t>
      </w:r>
    </w:p>
    <w:p w14:paraId="144F3FF2" w14:textId="630AC721" w:rsidR="00EE10D2" w:rsidRDefault="00EE10D2" w:rsidP="00EE10D2">
      <w:pPr>
        <w:pStyle w:val="afc"/>
        <w:numPr>
          <w:ilvl w:val="0"/>
          <w:numId w:val="19"/>
        </w:numPr>
        <w:spacing w:afterLines="50" w:after="120"/>
        <w:ind w:leftChars="0"/>
        <w:rPr>
          <w:sz w:val="22"/>
          <w:szCs w:val="22"/>
        </w:rPr>
      </w:pPr>
      <w:r>
        <w:rPr>
          <w:rFonts w:hint="eastAsia"/>
          <w:sz w:val="22"/>
          <w:szCs w:val="22"/>
        </w:rPr>
        <w:t xml:space="preserve">In scenario A and D, HARQ feedback </w:t>
      </w:r>
      <w:r>
        <w:rPr>
          <w:sz w:val="22"/>
          <w:szCs w:val="22"/>
        </w:rPr>
        <w:t>will be sent on licensed band</w:t>
      </w:r>
      <w:r w:rsidR="00712F37">
        <w:rPr>
          <w:sz w:val="22"/>
          <w:szCs w:val="22"/>
        </w:rPr>
        <w:t>. In such case, resource/timing for HARQ feedback could be ensured by gNB.</w:t>
      </w:r>
    </w:p>
    <w:p w14:paraId="2F863579" w14:textId="043DF9EB" w:rsidR="00712F37" w:rsidRDefault="00712F37" w:rsidP="00EE10D2">
      <w:pPr>
        <w:pStyle w:val="afc"/>
        <w:numPr>
          <w:ilvl w:val="0"/>
          <w:numId w:val="19"/>
        </w:numPr>
        <w:spacing w:afterLines="50" w:after="120"/>
        <w:ind w:leftChars="0"/>
        <w:rPr>
          <w:sz w:val="22"/>
          <w:szCs w:val="22"/>
        </w:rPr>
      </w:pPr>
      <w:r>
        <w:rPr>
          <w:sz w:val="22"/>
          <w:szCs w:val="22"/>
        </w:rPr>
        <w:t xml:space="preserve">Even when HARQ feedback will be sent on unlicensed band, since multiple DL-UL and UL-DL switching within a gNB-initiated COT will be allowed, gNB would have flexibility on resource/timing for HARQ feedback within the COT. </w:t>
      </w:r>
    </w:p>
    <w:p w14:paraId="58A96445" w14:textId="7B690460" w:rsidR="00712F37" w:rsidRDefault="00712F37" w:rsidP="00EE10D2">
      <w:pPr>
        <w:pStyle w:val="afc"/>
        <w:numPr>
          <w:ilvl w:val="0"/>
          <w:numId w:val="19"/>
        </w:numPr>
        <w:spacing w:afterLines="50" w:after="120"/>
        <w:ind w:leftChars="0"/>
        <w:rPr>
          <w:sz w:val="22"/>
          <w:szCs w:val="22"/>
        </w:rPr>
      </w:pPr>
      <w:r>
        <w:rPr>
          <w:rFonts w:hint="eastAsia"/>
          <w:sz w:val="22"/>
          <w:szCs w:val="22"/>
        </w:rPr>
        <w:t xml:space="preserve">Different from LTE, NR supports wider CC bandwidth </w:t>
      </w:r>
      <w:r w:rsidR="00844C6D">
        <w:rPr>
          <w:sz w:val="22"/>
          <w:szCs w:val="22"/>
        </w:rPr>
        <w:t>than 20MHz, such as 100MHz. So, CA operation with very large number of CCs should not be a major scenario.</w:t>
      </w:r>
    </w:p>
    <w:p w14:paraId="06D9D6A2" w14:textId="6D50E43A" w:rsidR="00844C6D" w:rsidRPr="00EE10D2" w:rsidRDefault="00844C6D" w:rsidP="00EE10D2">
      <w:pPr>
        <w:pStyle w:val="afc"/>
        <w:numPr>
          <w:ilvl w:val="0"/>
          <w:numId w:val="19"/>
        </w:numPr>
        <w:spacing w:afterLines="50" w:after="120"/>
        <w:ind w:leftChars="0"/>
        <w:rPr>
          <w:sz w:val="22"/>
          <w:szCs w:val="22"/>
        </w:rPr>
      </w:pPr>
      <w:r>
        <w:rPr>
          <w:sz w:val="22"/>
          <w:szCs w:val="22"/>
        </w:rPr>
        <w:t xml:space="preserve">In scenario A with the case where both licensed NR carrier and unlicensed NR carrier have UL, RAN1 should consider whether UCI </w:t>
      </w:r>
      <w:r w:rsidR="002E4F2C">
        <w:rPr>
          <w:sz w:val="22"/>
          <w:szCs w:val="22"/>
        </w:rPr>
        <w:t>(especially regarding licensed NR carrier) can be sent on unlicensed NR carrier. In LTE-LAA, UCI regarding licensed NR carrier is always sent on licenced NR carrier and simultaneous PUCCH/PUSCH transmission capability is required for UL LAA operation.</w:t>
      </w:r>
    </w:p>
    <w:p w14:paraId="1BF411D1" w14:textId="77777777" w:rsidR="00C966B0" w:rsidRPr="00C966B0" w:rsidRDefault="00C966B0" w:rsidP="004D7B4A">
      <w:pPr>
        <w:spacing w:afterLines="50" w:after="120"/>
        <w:rPr>
          <w:sz w:val="22"/>
          <w:szCs w:val="22"/>
        </w:rPr>
      </w:pPr>
    </w:p>
    <w:p w14:paraId="60BC7ACB" w14:textId="77777777" w:rsidR="004D7B4A" w:rsidRPr="004D7B4A" w:rsidRDefault="004D7B4A" w:rsidP="004D7B4A">
      <w:pPr>
        <w:rPr>
          <w:sz w:val="22"/>
          <w:szCs w:val="22"/>
        </w:rPr>
      </w:pPr>
    </w:p>
    <w:p w14:paraId="513C4821" w14:textId="764B737A" w:rsidR="00D5782A" w:rsidRPr="00EA4CFF" w:rsidRDefault="002E4F2C" w:rsidP="00D5782A">
      <w:pPr>
        <w:pStyle w:val="2"/>
        <w:rPr>
          <w:sz w:val="22"/>
          <w:szCs w:val="22"/>
        </w:rPr>
      </w:pPr>
      <w:r>
        <w:rPr>
          <w:rFonts w:hint="eastAsia"/>
          <w:sz w:val="22"/>
          <w:szCs w:val="22"/>
        </w:rPr>
        <w:t>2.2</w:t>
      </w:r>
      <w:r w:rsidR="00D5782A">
        <w:rPr>
          <w:rFonts w:hint="eastAsia"/>
          <w:sz w:val="22"/>
          <w:szCs w:val="22"/>
        </w:rPr>
        <w:tab/>
      </w:r>
      <w:r w:rsidR="007C14FB">
        <w:rPr>
          <w:sz w:val="22"/>
          <w:szCs w:val="22"/>
        </w:rPr>
        <w:t>HARQ A/N transmission for corresponding data in the same shared COT</w:t>
      </w:r>
    </w:p>
    <w:p w14:paraId="555E9098" w14:textId="75018C1A" w:rsidR="007C14FB" w:rsidRDefault="007C14FB" w:rsidP="007C14FB">
      <w:pPr>
        <w:spacing w:afterLines="50" w:after="120"/>
        <w:rPr>
          <w:sz w:val="22"/>
          <w:szCs w:val="22"/>
          <w:lang w:val="en-US"/>
        </w:rPr>
      </w:pPr>
      <w:r>
        <w:rPr>
          <w:sz w:val="22"/>
          <w:szCs w:val="22"/>
          <w:lang w:val="en-US"/>
        </w:rPr>
        <w:t>During the NR-U SI, HARQ A/N transmission for corresponding data in the same shared COT had been discussed and following is captured in the section 7.2.1.3.3 of TR38.889 [2].</w:t>
      </w:r>
    </w:p>
    <w:tbl>
      <w:tblPr>
        <w:tblStyle w:val="afa"/>
        <w:tblW w:w="0" w:type="auto"/>
        <w:tblLook w:val="04A0" w:firstRow="1" w:lastRow="0" w:firstColumn="1" w:lastColumn="0" w:noHBand="0" w:noVBand="1"/>
      </w:tblPr>
      <w:tblGrid>
        <w:gridCol w:w="9962"/>
      </w:tblGrid>
      <w:tr w:rsidR="007C14FB" w14:paraId="7B77148E" w14:textId="77777777" w:rsidTr="007C14FB">
        <w:tc>
          <w:tcPr>
            <w:tcW w:w="9962" w:type="dxa"/>
          </w:tcPr>
          <w:p w14:paraId="0583CA72" w14:textId="77777777" w:rsidR="007C14FB" w:rsidRDefault="007C14FB" w:rsidP="007C14FB">
            <w:pPr>
              <w:rPr>
                <w:rFonts w:eastAsia="SimSun"/>
                <w:sz w:val="20"/>
                <w:lang w:val="en-US" w:eastAsia="x-none"/>
              </w:rPr>
            </w:pPr>
            <w:r w:rsidRPr="007C14FB">
              <w:rPr>
                <w:rFonts w:eastAsia="SimSun"/>
                <w:sz w:val="20"/>
                <w:lang w:eastAsia="x-none"/>
              </w:rP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r w:rsidRPr="007C14FB">
              <w:rPr>
                <w:rFonts w:ascii="Symbol" w:eastAsia="SimSun" w:hAnsi="Symbol"/>
                <w:sz w:val="20"/>
                <w:lang w:eastAsia="en-US"/>
              </w:rPr>
              <w:t></w:t>
            </w:r>
            <w:r w:rsidRPr="007C14FB">
              <w:rPr>
                <w:rFonts w:eastAsia="SimSun"/>
                <w:sz w:val="20"/>
                <w:lang w:eastAsia="x-none"/>
              </w:rPr>
              <w:t xml:space="preserve">s should be allowed between the end of the DL transmission and the immediate transmission of feedback to accommodate for the hardware turnaround time. </w:t>
            </w:r>
            <w:r w:rsidRPr="007C14FB">
              <w:rPr>
                <w:rFonts w:eastAsia="SimSun"/>
                <w:sz w:val="20"/>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726FEAC" w14:textId="77777777" w:rsidR="00826222" w:rsidRDefault="00826222" w:rsidP="007C14FB">
            <w:pPr>
              <w:rPr>
                <w:rFonts w:eastAsia="SimSun"/>
                <w:sz w:val="20"/>
                <w:lang w:val="en-US" w:eastAsia="x-none"/>
              </w:rPr>
            </w:pPr>
            <w:r>
              <w:rPr>
                <w:rFonts w:eastAsia="SimSun"/>
                <w:sz w:val="20"/>
                <w:lang w:val="en-US" w:eastAsia="x-none"/>
              </w:rPr>
              <w:t>~</w:t>
            </w:r>
          </w:p>
          <w:p w14:paraId="799B17A1" w14:textId="77777777" w:rsidR="00826222" w:rsidRPr="00D90DCB" w:rsidRDefault="00826222" w:rsidP="00826222">
            <w:pPr>
              <w:rPr>
                <w:rFonts w:eastAsia="SimSun"/>
                <w:sz w:val="20"/>
                <w:lang w:eastAsia="en-US"/>
              </w:rPr>
            </w:pPr>
            <w:r w:rsidRPr="00D90DCB">
              <w:rPr>
                <w:rFonts w:eastAsia="SimSun"/>
                <w:sz w:val="20"/>
                <w:lang w:eastAsia="en-US"/>
              </w:rPr>
              <w:t xml:space="preserve">NR-U should support both the HARQ feedback corresponding to some or all the PDSCHs of a channel occupancy can be reported in the same channel occupancy and HARQ feedback corresponding to PDSCHs of a channel occupancy can be reported outside of that channel occupancy. </w:t>
            </w:r>
          </w:p>
          <w:p w14:paraId="7C2D9341" w14:textId="02EB5ECC" w:rsidR="00826222" w:rsidRPr="00826222" w:rsidRDefault="00826222" w:rsidP="007C14FB">
            <w:pPr>
              <w:rPr>
                <w:rFonts w:eastAsia="SimSun"/>
                <w:sz w:val="20"/>
                <w:lang w:eastAsia="en-US"/>
              </w:rPr>
            </w:pPr>
            <w:r w:rsidRPr="00D90DCB">
              <w:rPr>
                <w:rFonts w:eastAsia="SimSun"/>
                <w:sz w:val="20"/>
                <w:lang w:eastAsia="en-US"/>
              </w:rPr>
              <w:t xml:space="preserve">To support the HARQ feedback corresponding to some or all the PDSCHs of a channel occupancy to be reported in the same channel occupancy, </w:t>
            </w:r>
            <w:r w:rsidRPr="00D90DCB">
              <w:rPr>
                <w:rFonts w:eastAsia="SimSun"/>
                <w:bCs/>
                <w:sz w:val="20"/>
                <w:lang w:eastAsia="en-U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tc>
      </w:tr>
    </w:tbl>
    <w:p w14:paraId="557A19C2" w14:textId="502417A8" w:rsidR="007C14FB" w:rsidRDefault="007C14FB" w:rsidP="005C7976">
      <w:pPr>
        <w:spacing w:afterLines="50" w:after="120"/>
        <w:rPr>
          <w:sz w:val="22"/>
          <w:szCs w:val="22"/>
          <w:lang w:val="en-US"/>
        </w:rPr>
      </w:pPr>
    </w:p>
    <w:p w14:paraId="13AC78A7" w14:textId="543063F8" w:rsidR="007C14FB" w:rsidRDefault="007C14FB" w:rsidP="005C7976">
      <w:pPr>
        <w:spacing w:afterLines="50" w:after="120"/>
        <w:rPr>
          <w:sz w:val="22"/>
          <w:szCs w:val="22"/>
          <w:lang w:val="en-US"/>
        </w:rPr>
      </w:pPr>
      <w:r>
        <w:rPr>
          <w:rFonts w:hint="eastAsia"/>
          <w:sz w:val="22"/>
          <w:szCs w:val="22"/>
          <w:lang w:val="en-US"/>
        </w:rPr>
        <w:t>I</w:t>
      </w:r>
      <w:r>
        <w:rPr>
          <w:sz w:val="22"/>
          <w:szCs w:val="22"/>
          <w:lang w:val="en-US"/>
        </w:rPr>
        <w:t>n addition, the channel access schemes for a UL transmission within a gNB-initiated COT were also discussed and following is captured in the TR.</w:t>
      </w:r>
    </w:p>
    <w:tbl>
      <w:tblPr>
        <w:tblStyle w:val="afa"/>
        <w:tblW w:w="0" w:type="auto"/>
        <w:tblLook w:val="04A0" w:firstRow="1" w:lastRow="0" w:firstColumn="1" w:lastColumn="0" w:noHBand="0" w:noVBand="1"/>
      </w:tblPr>
      <w:tblGrid>
        <w:gridCol w:w="9962"/>
      </w:tblGrid>
      <w:tr w:rsidR="007C14FB" w14:paraId="3BEA3692" w14:textId="77777777" w:rsidTr="007C14FB">
        <w:tc>
          <w:tcPr>
            <w:tcW w:w="9962" w:type="dxa"/>
          </w:tcPr>
          <w:p w14:paraId="2C2AC330" w14:textId="77777777" w:rsidR="007C14FB" w:rsidRPr="007C14FB" w:rsidRDefault="007C14FB" w:rsidP="007C14FB">
            <w:pPr>
              <w:rPr>
                <w:rFonts w:eastAsia="SimSun"/>
                <w:sz w:val="20"/>
                <w:lang w:eastAsia="x-none"/>
              </w:rPr>
            </w:pPr>
            <w:r w:rsidRPr="007C14FB">
              <w:rPr>
                <w:rFonts w:eastAsia="SimSun"/>
                <w:sz w:val="20"/>
                <w:lang w:eastAsia="x-none"/>
              </w:rPr>
              <w:t>Within a gNB-initiated COT, an UL burst for a UE consisting of one or more of PUSCH, PUCCH, PRACH, and SRS follows the channel access schemes in Table 7.2.1.3.1-3.</w:t>
            </w:r>
          </w:p>
          <w:p w14:paraId="7F8ED90F" w14:textId="77777777" w:rsidR="007C14FB" w:rsidRPr="007C14FB" w:rsidRDefault="007C14FB" w:rsidP="007C14FB">
            <w:pPr>
              <w:keepNext/>
              <w:keepLines/>
              <w:spacing w:before="60"/>
              <w:jc w:val="center"/>
              <w:rPr>
                <w:rFonts w:ascii="Arial" w:eastAsia="SimSun" w:hAnsi="Arial"/>
                <w:b/>
                <w:sz w:val="20"/>
                <w:lang w:eastAsia="x-none"/>
              </w:rPr>
            </w:pPr>
            <w:r w:rsidRPr="007C14FB">
              <w:rPr>
                <w:rFonts w:ascii="Arial" w:eastAsia="SimSun" w:hAnsi="Arial"/>
                <w:b/>
                <w:sz w:val="20"/>
                <w:lang w:eastAsia="x-none"/>
              </w:rPr>
              <w:t>Table 7.2.1.3.1-3: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7C14FB" w:rsidRPr="007C14FB" w14:paraId="14648B2B" w14:textId="77777777" w:rsidTr="00171DA8">
              <w:trPr>
                <w:jc w:val="center"/>
              </w:trPr>
              <w:tc>
                <w:tcPr>
                  <w:tcW w:w="2329" w:type="dxa"/>
                  <w:shd w:val="clear" w:color="auto" w:fill="auto"/>
                </w:tcPr>
                <w:p w14:paraId="2629FF60" w14:textId="77777777" w:rsidR="007C14FB" w:rsidRPr="007C14FB" w:rsidRDefault="007C14FB" w:rsidP="007C14FB">
                  <w:pPr>
                    <w:keepNext/>
                    <w:keepLines/>
                    <w:jc w:val="center"/>
                    <w:rPr>
                      <w:rFonts w:ascii="Arial" w:eastAsia="SimSun" w:hAnsi="Arial"/>
                      <w:b/>
                      <w:sz w:val="18"/>
                      <w:lang w:eastAsia="x-none"/>
                    </w:rPr>
                  </w:pPr>
                  <w:r w:rsidRPr="007C14FB">
                    <w:rPr>
                      <w:rFonts w:ascii="Arial" w:eastAsia="SimSun" w:hAnsi="Arial"/>
                      <w:b/>
                      <w:sz w:val="18"/>
                      <w:lang w:eastAsia="x-none"/>
                    </w:rPr>
                    <w:t xml:space="preserve">Cat 1 Immediate transmission </w:t>
                  </w:r>
                </w:p>
              </w:tc>
              <w:tc>
                <w:tcPr>
                  <w:tcW w:w="4619" w:type="dxa"/>
                  <w:shd w:val="clear" w:color="auto" w:fill="auto"/>
                </w:tcPr>
                <w:p w14:paraId="3436C125" w14:textId="77777777" w:rsidR="007C14FB" w:rsidRPr="007C14FB" w:rsidRDefault="007C14FB" w:rsidP="007C14FB">
                  <w:pPr>
                    <w:keepNext/>
                    <w:keepLines/>
                    <w:jc w:val="center"/>
                    <w:rPr>
                      <w:rFonts w:ascii="Arial" w:eastAsia="SimSun" w:hAnsi="Arial"/>
                      <w:b/>
                      <w:sz w:val="18"/>
                      <w:lang w:eastAsia="x-none"/>
                    </w:rPr>
                  </w:pPr>
                  <w:r w:rsidRPr="007C14FB">
                    <w:rPr>
                      <w:rFonts w:ascii="Arial" w:eastAsia="SimSun" w:hAnsi="Arial"/>
                      <w:b/>
                      <w:sz w:val="18"/>
                      <w:lang w:eastAsia="x-none"/>
                    </w:rPr>
                    <w:t>Cat 2 LBT</w:t>
                  </w:r>
                </w:p>
              </w:tc>
              <w:tc>
                <w:tcPr>
                  <w:tcW w:w="2250" w:type="dxa"/>
                  <w:shd w:val="clear" w:color="auto" w:fill="auto"/>
                </w:tcPr>
                <w:p w14:paraId="339C75EB" w14:textId="77777777" w:rsidR="007C14FB" w:rsidRPr="007C14FB" w:rsidRDefault="007C14FB" w:rsidP="007C14FB">
                  <w:pPr>
                    <w:keepNext/>
                    <w:keepLines/>
                    <w:jc w:val="center"/>
                    <w:rPr>
                      <w:rFonts w:ascii="Arial" w:eastAsia="SimSun" w:hAnsi="Arial"/>
                      <w:b/>
                      <w:sz w:val="18"/>
                      <w:lang w:eastAsia="x-none"/>
                    </w:rPr>
                  </w:pPr>
                  <w:r w:rsidRPr="007C14FB">
                    <w:rPr>
                      <w:rFonts w:ascii="Arial" w:eastAsia="SimSun" w:hAnsi="Arial"/>
                      <w:b/>
                      <w:sz w:val="18"/>
                      <w:lang w:eastAsia="x-none"/>
                    </w:rPr>
                    <w:t>Cat 4 LBT</w:t>
                  </w:r>
                </w:p>
              </w:tc>
            </w:tr>
            <w:tr w:rsidR="007C14FB" w:rsidRPr="007C14FB" w14:paraId="472E2E6F" w14:textId="77777777" w:rsidTr="00171DA8">
              <w:trPr>
                <w:jc w:val="center"/>
              </w:trPr>
              <w:tc>
                <w:tcPr>
                  <w:tcW w:w="2329" w:type="dxa"/>
                  <w:shd w:val="clear" w:color="auto" w:fill="auto"/>
                </w:tcPr>
                <w:p w14:paraId="703BBF71" w14:textId="77777777" w:rsidR="007C14FB" w:rsidRPr="007C14FB" w:rsidRDefault="007C14FB" w:rsidP="007C14FB">
                  <w:pPr>
                    <w:keepNext/>
                    <w:keepLines/>
                    <w:rPr>
                      <w:rFonts w:ascii="Arial" w:eastAsia="SimSun" w:hAnsi="Arial"/>
                      <w:sz w:val="18"/>
                      <w:lang w:eastAsia="x-none"/>
                    </w:rPr>
                  </w:pPr>
                  <w:r w:rsidRPr="007C14FB">
                    <w:rPr>
                      <w:rFonts w:ascii="Arial" w:eastAsia="SimSun" w:hAnsi="Arial"/>
                      <w:sz w:val="18"/>
                      <w:lang w:eastAsia="x-none"/>
                    </w:rPr>
                    <w:t xml:space="preserve">When the gap from the end of the DL transmission to the beginning of the UL burst is not more than 16 </w:t>
                  </w:r>
                  <w:r w:rsidRPr="007C14FB">
                    <w:rPr>
                      <w:rFonts w:ascii="Symbol" w:eastAsia="SimSun" w:hAnsi="Symbol"/>
                      <w:sz w:val="18"/>
                      <w:lang w:eastAsia="x-none"/>
                    </w:rPr>
                    <w:t></w:t>
                  </w:r>
                  <w:r w:rsidRPr="007C14FB">
                    <w:rPr>
                      <w:rFonts w:ascii="Arial" w:eastAsia="SimSun" w:hAnsi="Arial"/>
                      <w:sz w:val="18"/>
                      <w:lang w:eastAsia="x-none"/>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3F2C558D" w14:textId="77777777" w:rsidR="007C14FB" w:rsidRPr="007C14FB" w:rsidRDefault="007C14FB" w:rsidP="007C14FB">
                  <w:pPr>
                    <w:keepNext/>
                    <w:keepLines/>
                    <w:rPr>
                      <w:rFonts w:ascii="Arial" w:eastAsia="SimSun" w:hAnsi="Arial"/>
                      <w:sz w:val="18"/>
                      <w:lang w:eastAsia="x-none"/>
                    </w:rPr>
                  </w:pPr>
                  <w:r w:rsidRPr="007C14FB">
                    <w:rPr>
                      <w:rFonts w:ascii="Arial" w:eastAsia="SimSun" w:hAnsi="Arial"/>
                      <w:sz w:val="18"/>
                      <w:lang w:eastAsia="x-none"/>
                    </w:rPr>
                    <w:t>For any of the following cases:</w:t>
                  </w:r>
                </w:p>
                <w:p w14:paraId="22DAD3AC" w14:textId="77777777" w:rsidR="007C14FB" w:rsidRPr="007C14FB" w:rsidRDefault="007C14FB" w:rsidP="007C14FB">
                  <w:pPr>
                    <w:spacing w:after="180"/>
                    <w:ind w:left="568" w:hanging="284"/>
                    <w:rPr>
                      <w:rFonts w:ascii="Arial" w:eastAsia="SimSun" w:hAnsi="Arial" w:cs="Arial"/>
                      <w:sz w:val="18"/>
                      <w:szCs w:val="18"/>
                      <w:lang w:eastAsia="x-none"/>
                    </w:rPr>
                  </w:pPr>
                  <w:r w:rsidRPr="007C14FB">
                    <w:rPr>
                      <w:rFonts w:ascii="Arial" w:eastAsia="SimSun" w:hAnsi="Arial" w:cs="Arial"/>
                      <w:sz w:val="18"/>
                      <w:szCs w:val="18"/>
                      <w:lang w:eastAsia="x-none"/>
                    </w:rPr>
                    <w:t>-</w:t>
                  </w:r>
                  <w:r w:rsidRPr="007C14FB">
                    <w:rPr>
                      <w:rFonts w:ascii="Arial" w:eastAsia="SimSun" w:hAnsi="Arial" w:cs="Arial"/>
                      <w:sz w:val="18"/>
                      <w:szCs w:val="18"/>
                      <w:lang w:eastAsia="x-none"/>
                    </w:rPr>
                    <w:tab/>
                    <w:t xml:space="preserve">When the gap between any two successive scheduled/granted transmissions in the COT is not greater than 25 </w:t>
                  </w:r>
                  <w:r w:rsidRPr="007C14FB">
                    <w:rPr>
                      <w:rFonts w:ascii="Symbol" w:eastAsia="SimSun" w:hAnsi="Symbol"/>
                      <w:sz w:val="20"/>
                      <w:lang w:eastAsia="x-none"/>
                    </w:rPr>
                    <w:t></w:t>
                  </w:r>
                  <w:r w:rsidRPr="007C14FB">
                    <w:rPr>
                      <w:rFonts w:ascii="Arial" w:eastAsia="SimSun" w:hAnsi="Arial" w:cs="Arial"/>
                      <w:sz w:val="18"/>
                      <w:szCs w:val="18"/>
                      <w:lang w:eastAsia="x-none"/>
                    </w:rPr>
                    <w:t>sec</w:t>
                  </w:r>
                </w:p>
                <w:p w14:paraId="3FF731F8" w14:textId="77777777" w:rsidR="007C14FB" w:rsidRPr="007C14FB" w:rsidRDefault="007C14FB" w:rsidP="007C14FB">
                  <w:pPr>
                    <w:spacing w:after="180"/>
                    <w:ind w:left="568" w:hanging="284"/>
                    <w:rPr>
                      <w:rFonts w:ascii="Arial" w:eastAsia="SimSun" w:hAnsi="Arial" w:cs="Arial"/>
                      <w:sz w:val="18"/>
                      <w:szCs w:val="18"/>
                      <w:lang w:eastAsia="x-none"/>
                    </w:rPr>
                  </w:pPr>
                  <w:r w:rsidRPr="007C14FB">
                    <w:rPr>
                      <w:rFonts w:ascii="Arial" w:eastAsia="SimSun" w:hAnsi="Arial" w:cs="Arial"/>
                      <w:sz w:val="18"/>
                      <w:szCs w:val="18"/>
                      <w:lang w:eastAsia="x-none"/>
                    </w:rPr>
                    <w:t>-</w:t>
                  </w:r>
                  <w:r w:rsidRPr="007C14FB">
                    <w:rPr>
                      <w:rFonts w:ascii="Arial" w:eastAsia="SimSun" w:hAnsi="Arial" w:cs="Arial"/>
                      <w:sz w:val="18"/>
                      <w:szCs w:val="18"/>
                      <w:lang w:eastAsia="x-none"/>
                    </w:rPr>
                    <w:tab/>
                    <w:t>For the case where a UL transmission in the gNB initiated COT is not followed by a DL transmission in the same COT</w:t>
                  </w:r>
                </w:p>
                <w:p w14:paraId="0944D1B0" w14:textId="77777777" w:rsidR="007C14FB" w:rsidRPr="007C14FB" w:rsidRDefault="007C14FB" w:rsidP="007C14FB">
                  <w:pPr>
                    <w:spacing w:after="180"/>
                    <w:ind w:left="851" w:hanging="284"/>
                    <w:rPr>
                      <w:rFonts w:eastAsia="SimSun"/>
                      <w:sz w:val="20"/>
                      <w:lang w:eastAsia="x-none"/>
                    </w:rPr>
                  </w:pPr>
                  <w:r w:rsidRPr="007C14FB">
                    <w:rPr>
                      <w:rFonts w:eastAsia="SimSun"/>
                      <w:sz w:val="20"/>
                      <w:lang w:eastAsia="x-none"/>
                    </w:rPr>
                    <w:t>-</w:t>
                  </w:r>
                  <w:r w:rsidRPr="007C14FB">
                    <w:rPr>
                      <w:rFonts w:eastAsia="SimSun"/>
                      <w:sz w:val="20"/>
                      <w:lang w:eastAsia="x-none"/>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302CF134" w14:textId="77777777" w:rsidR="007C14FB" w:rsidRPr="007C14FB" w:rsidRDefault="007C14FB" w:rsidP="007C14FB">
                  <w:pPr>
                    <w:keepNext/>
                    <w:keepLines/>
                    <w:rPr>
                      <w:rFonts w:ascii="Arial" w:eastAsia="SimSun" w:hAnsi="Arial"/>
                      <w:sz w:val="18"/>
                      <w:lang w:eastAsia="x-none"/>
                    </w:rPr>
                  </w:pPr>
                  <w:r w:rsidRPr="007C14FB">
                    <w:rPr>
                      <w:rFonts w:ascii="Arial" w:eastAsia="SimSun" w:hAnsi="Arial"/>
                      <w:sz w:val="18"/>
                      <w:lang w:eastAsia="x-none"/>
                    </w:rPr>
                    <w:t>N/A</w:t>
                  </w:r>
                </w:p>
              </w:tc>
            </w:tr>
          </w:tbl>
          <w:p w14:paraId="744FFEAD" w14:textId="51B82A4C" w:rsidR="007C14FB" w:rsidRDefault="007C14FB" w:rsidP="005C7976">
            <w:pPr>
              <w:spacing w:afterLines="50" w:after="120"/>
              <w:rPr>
                <w:sz w:val="22"/>
                <w:szCs w:val="22"/>
                <w:lang w:val="en-US"/>
              </w:rPr>
            </w:pPr>
            <w:r w:rsidRPr="007C14FB">
              <w:rPr>
                <w:rFonts w:eastAsia="SimSun"/>
                <w:sz w:val="20"/>
                <w:lang w:eastAsia="en-US"/>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tc>
      </w:tr>
    </w:tbl>
    <w:p w14:paraId="5F780F16" w14:textId="77777777" w:rsidR="007C14FB" w:rsidRPr="007C14FB" w:rsidRDefault="007C14FB" w:rsidP="005C7976">
      <w:pPr>
        <w:spacing w:afterLines="50" w:after="120"/>
        <w:rPr>
          <w:sz w:val="22"/>
          <w:szCs w:val="22"/>
          <w:lang w:val="en-US"/>
        </w:rPr>
      </w:pPr>
    </w:p>
    <w:p w14:paraId="1B5E66E0" w14:textId="3B687CA1" w:rsidR="007C14FB" w:rsidRDefault="00160521" w:rsidP="005C7976">
      <w:pPr>
        <w:spacing w:afterLines="50" w:after="120"/>
        <w:rPr>
          <w:sz w:val="22"/>
          <w:szCs w:val="22"/>
        </w:rPr>
      </w:pPr>
      <w:r>
        <w:rPr>
          <w:rFonts w:hint="eastAsia"/>
          <w:sz w:val="22"/>
          <w:szCs w:val="22"/>
        </w:rPr>
        <w:t xml:space="preserve">In NR, HARQ A/N </w:t>
      </w:r>
      <w:r w:rsidR="006A2079">
        <w:rPr>
          <w:sz w:val="22"/>
          <w:szCs w:val="22"/>
        </w:rPr>
        <w:t>timing is indicated in the scheduling DCI as PDSCH-to-HARQ feedback timing indicator</w:t>
      </w:r>
      <w:r w:rsidR="008E6171">
        <w:rPr>
          <w:sz w:val="22"/>
          <w:szCs w:val="22"/>
        </w:rPr>
        <w:t>, where the</w:t>
      </w:r>
      <w:r w:rsidR="006A2079">
        <w:rPr>
          <w:sz w:val="22"/>
          <w:szCs w:val="22"/>
        </w:rPr>
        <w:t xml:space="preserve"> indication is about the number of slots</w:t>
      </w:r>
      <w:r w:rsidR="008E6171">
        <w:rPr>
          <w:sz w:val="22"/>
          <w:szCs w:val="22"/>
        </w:rPr>
        <w:t xml:space="preserve">. So, when gNB transmits scheduling DCI, gNB should be aware of whether the HARQ A/N transmission corresponding to the scheduling data will be performed within </w:t>
      </w:r>
      <w:r w:rsidR="008E6171">
        <w:rPr>
          <w:sz w:val="22"/>
          <w:szCs w:val="22"/>
        </w:rPr>
        <w:lastRenderedPageBreak/>
        <w:t xml:space="preserve">the same shared COT or not. For the HARQ A/N transmission within a gNB-initiated COT, there are two possible channel access schemes; one is Cat 1 immediate transmission for the case where the gap from the end of DL to the beginning of the UL burst is not more than 16 usec, and another is Cat 2 LBT for the case where the gap is not more than 25 usec (but more than 16 usec). Since the 16 or 25 usec gap duration is not matched to the duration of one or multiple OFDM symbols, partial symbol transmission </w:t>
      </w:r>
      <w:r w:rsidR="00DC0CF9">
        <w:rPr>
          <w:sz w:val="22"/>
          <w:szCs w:val="22"/>
        </w:rPr>
        <w:t xml:space="preserve">at the end of DL transmission </w:t>
      </w:r>
      <w:r w:rsidR="008E6171">
        <w:rPr>
          <w:sz w:val="22"/>
          <w:szCs w:val="22"/>
        </w:rPr>
        <w:t xml:space="preserve">based on gNB implementation </w:t>
      </w:r>
      <w:r w:rsidR="00DC0CF9">
        <w:rPr>
          <w:sz w:val="22"/>
          <w:szCs w:val="22"/>
        </w:rPr>
        <w:t>is necessary to achieve the gap less than 16 or 25 us. Therefore, since the duration of the gap between the end of DL and the beginning of UL is determined by gNB</w:t>
      </w:r>
      <w:r w:rsidR="00F12B9D">
        <w:rPr>
          <w:sz w:val="22"/>
          <w:szCs w:val="22"/>
        </w:rPr>
        <w:t xml:space="preserve"> and UE would not be able to measure the gap duration</w:t>
      </w:r>
      <w:r w:rsidR="00076B47">
        <w:rPr>
          <w:sz w:val="22"/>
          <w:szCs w:val="22"/>
        </w:rPr>
        <w:t xml:space="preserve">, channel access scheme for HARQ A/N transmission </w:t>
      </w:r>
      <w:r w:rsidR="00F12B9D">
        <w:rPr>
          <w:sz w:val="22"/>
          <w:szCs w:val="22"/>
        </w:rPr>
        <w:t>should be</w:t>
      </w:r>
      <w:r w:rsidR="00076B47">
        <w:rPr>
          <w:sz w:val="22"/>
          <w:szCs w:val="22"/>
        </w:rPr>
        <w:t xml:space="preserve"> indicated in scheduling DCI.</w:t>
      </w:r>
      <w:r w:rsidR="00F12B9D">
        <w:rPr>
          <w:sz w:val="22"/>
          <w:szCs w:val="22"/>
        </w:rPr>
        <w:t xml:space="preserve"> </w:t>
      </w:r>
    </w:p>
    <w:p w14:paraId="31BABE67" w14:textId="77777777" w:rsidR="007F2C1B" w:rsidRDefault="007F2C1B" w:rsidP="007F2C1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channel access scheme for HARQ A/N transmission on PUCCH within a same shared COT is indicated in the scheduling DCI.</w:t>
      </w:r>
    </w:p>
    <w:p w14:paraId="25F8B88B" w14:textId="1D22B44B" w:rsidR="007C14FB" w:rsidRPr="007F2C1B" w:rsidRDefault="007C14FB" w:rsidP="005C7976">
      <w:pPr>
        <w:spacing w:afterLines="50" w:after="120"/>
        <w:rPr>
          <w:sz w:val="22"/>
          <w:szCs w:val="22"/>
        </w:rPr>
      </w:pPr>
    </w:p>
    <w:p w14:paraId="576B74B7" w14:textId="56E41770" w:rsidR="00F12B9D" w:rsidRDefault="00F12B9D" w:rsidP="005C7976">
      <w:pPr>
        <w:spacing w:afterLines="50" w:after="120"/>
        <w:rPr>
          <w:sz w:val="22"/>
          <w:szCs w:val="22"/>
        </w:rPr>
      </w:pPr>
      <w:r>
        <w:rPr>
          <w:sz w:val="22"/>
          <w:szCs w:val="22"/>
        </w:rPr>
        <w:t xml:space="preserve">In LTE-LAA, for PUSCH transmission, channel access scheme and PUSCH transmission start timing are indicated in the DCI. </w:t>
      </w:r>
      <w:r w:rsidR="006B185A">
        <w:rPr>
          <w:sz w:val="22"/>
          <w:szCs w:val="22"/>
        </w:rPr>
        <w:t xml:space="preserve">eNB selects PUSCH transmission start timing based on the end timing of the transmission before the PUSCH. </w:t>
      </w:r>
      <w:r w:rsidR="00C83F95">
        <w:rPr>
          <w:sz w:val="22"/>
          <w:szCs w:val="22"/>
        </w:rPr>
        <w:t>For NR</w:t>
      </w:r>
      <w:r w:rsidR="00C7171B">
        <w:rPr>
          <w:sz w:val="22"/>
          <w:szCs w:val="22"/>
        </w:rPr>
        <w:t xml:space="preserve"> HARQ A/N transmission on PUCCH</w:t>
      </w:r>
      <w:r w:rsidR="00C83F95">
        <w:rPr>
          <w:sz w:val="22"/>
          <w:szCs w:val="22"/>
        </w:rPr>
        <w:t xml:space="preserve">, symbol level transmission start timing adjustment can be realized by PUCCH resource configuration and indication. </w:t>
      </w:r>
      <w:r w:rsidR="00C2056D">
        <w:rPr>
          <w:rFonts w:hint="eastAsia"/>
          <w:sz w:val="22"/>
          <w:szCs w:val="22"/>
        </w:rPr>
        <w:t>In addition</w:t>
      </w:r>
      <w:r w:rsidR="00C2056D">
        <w:rPr>
          <w:sz w:val="22"/>
          <w:szCs w:val="22"/>
        </w:rPr>
        <w:t xml:space="preserve">, partial symbol transmission to achieve the gap less than 16 or 25 us should be done by gNB implementation as argued above. </w:t>
      </w:r>
      <w:r w:rsidR="00B30CEB">
        <w:rPr>
          <w:sz w:val="22"/>
          <w:szCs w:val="22"/>
        </w:rPr>
        <w:t>Therefore, further transmission timing adjustment for NR-U HARQ A/N on PUCCH may not be necessary.</w:t>
      </w:r>
    </w:p>
    <w:p w14:paraId="339EB500" w14:textId="2BCA0FDF" w:rsidR="00C7171B" w:rsidRDefault="00C7171B" w:rsidP="005C7976">
      <w:pPr>
        <w:spacing w:afterLines="50" w:after="120"/>
        <w:rPr>
          <w:sz w:val="22"/>
          <w:szCs w:val="22"/>
        </w:rPr>
      </w:pPr>
    </w:p>
    <w:p w14:paraId="643AEDBF" w14:textId="34AD6D3B" w:rsidR="00ED7EFD" w:rsidRDefault="00C2056D" w:rsidP="005C7976">
      <w:pPr>
        <w:spacing w:afterLines="50" w:after="120"/>
        <w:rPr>
          <w:sz w:val="22"/>
          <w:szCs w:val="22"/>
          <w:lang w:val="en-US"/>
        </w:rPr>
      </w:pPr>
      <w:r>
        <w:rPr>
          <w:rFonts w:hint="eastAsia"/>
          <w:sz w:val="22"/>
          <w:szCs w:val="22"/>
        </w:rPr>
        <w:t xml:space="preserve">To support </w:t>
      </w:r>
      <w:r>
        <w:rPr>
          <w:sz w:val="22"/>
          <w:szCs w:val="22"/>
        </w:rPr>
        <w:t xml:space="preserve">HARQ A/N transmission for </w:t>
      </w:r>
      <w:r>
        <w:rPr>
          <w:sz w:val="22"/>
          <w:szCs w:val="22"/>
          <w:lang w:val="en-US"/>
        </w:rPr>
        <w:t xml:space="preserve">corresponding data in the same shared COT, </w:t>
      </w:r>
      <w:r w:rsidR="00626E0F">
        <w:rPr>
          <w:sz w:val="22"/>
          <w:szCs w:val="22"/>
          <w:lang w:val="en-US"/>
        </w:rPr>
        <w:t xml:space="preserve">extending </w:t>
      </w:r>
      <w:r>
        <w:rPr>
          <w:sz w:val="22"/>
          <w:szCs w:val="22"/>
          <w:lang w:val="en-US"/>
        </w:rPr>
        <w:t>PDSCH-to-HARQ</w:t>
      </w:r>
      <w:r w:rsidR="00C4684D">
        <w:rPr>
          <w:sz w:val="22"/>
          <w:szCs w:val="22"/>
          <w:lang w:val="en-US"/>
        </w:rPr>
        <w:t xml:space="preserve"> feedback timing indicator </w:t>
      </w:r>
      <w:r w:rsidR="00626E0F">
        <w:rPr>
          <w:sz w:val="22"/>
          <w:szCs w:val="22"/>
          <w:lang w:val="en-US"/>
        </w:rPr>
        <w:t>was agreed as beneficial</w:t>
      </w:r>
      <w:r>
        <w:rPr>
          <w:sz w:val="22"/>
          <w:szCs w:val="22"/>
          <w:lang w:val="en-US"/>
        </w:rPr>
        <w:t xml:space="preserve"> to support indicating timings up to the end of longest COT allowed by regulations. For example, assuming 10ms COT duration and </w:t>
      </w:r>
      <w:r w:rsidR="00F21804">
        <w:rPr>
          <w:sz w:val="22"/>
          <w:szCs w:val="22"/>
          <w:lang w:val="en-US"/>
        </w:rPr>
        <w:t xml:space="preserve">60kHz SCS, </w:t>
      </w:r>
      <w:r w:rsidR="00C4684D">
        <w:rPr>
          <w:sz w:val="22"/>
          <w:szCs w:val="22"/>
          <w:lang w:val="en-US"/>
        </w:rPr>
        <w:t xml:space="preserve">there are 40 slots within 10ms COT duration and </w:t>
      </w:r>
      <w:r w:rsidR="00F21804">
        <w:rPr>
          <w:sz w:val="22"/>
          <w:szCs w:val="22"/>
          <w:lang w:val="en-US"/>
        </w:rPr>
        <w:t xml:space="preserve">current </w:t>
      </w:r>
      <w:r w:rsidR="00C4684D">
        <w:rPr>
          <w:sz w:val="22"/>
          <w:szCs w:val="22"/>
          <w:lang w:val="en-US"/>
        </w:rPr>
        <w:t>maximum value</w:t>
      </w:r>
      <w:r w:rsidR="00F21804">
        <w:rPr>
          <w:sz w:val="22"/>
          <w:szCs w:val="22"/>
          <w:lang w:val="en-US"/>
        </w:rPr>
        <w:t xml:space="preserve"> of PDSCH-to-HARQ feedback timing indicator, i.e., </w:t>
      </w:r>
      <w:r w:rsidR="00C4684D">
        <w:rPr>
          <w:sz w:val="22"/>
          <w:szCs w:val="22"/>
          <w:lang w:val="en-US"/>
        </w:rPr>
        <w:t>15</w:t>
      </w:r>
      <w:r w:rsidR="00F21804">
        <w:rPr>
          <w:sz w:val="22"/>
          <w:szCs w:val="22"/>
          <w:lang w:val="en-US"/>
        </w:rPr>
        <w:t xml:space="preserve"> seems not sufficient. </w:t>
      </w:r>
      <w:r w:rsidR="00C4684D">
        <w:rPr>
          <w:sz w:val="22"/>
          <w:szCs w:val="22"/>
          <w:lang w:val="en-US"/>
        </w:rPr>
        <w:t xml:space="preserve">However, since Rel-16 NR-U does not support 60kHz SCS for SS/PBCH block, </w:t>
      </w:r>
      <w:r w:rsidR="00626E0F">
        <w:rPr>
          <w:sz w:val="22"/>
          <w:szCs w:val="22"/>
          <w:lang w:val="en-US"/>
        </w:rPr>
        <w:t>usage of 60kHz SCS may be limited to some specific scenario and 15kHz or 30kHz SCS would be mainly used on NR-U carrier for single numerology operation. In case of 15kHz or 30kHz SCS, even assuming 10ms COT, current maximum value of PDSCH-to-HARQ feedback timing indicator would be sufficient. Regarding the size of PDSCH-to-HARQ feedback timing indicator which is currently 3bits, we consider that extending it to more than 3bits is just an optimization for flexibility and NR-U can work well even without extension</w:t>
      </w:r>
      <w:r w:rsidR="0032412C">
        <w:rPr>
          <w:sz w:val="22"/>
          <w:szCs w:val="22"/>
          <w:lang w:val="en-US"/>
        </w:rPr>
        <w:t xml:space="preserve"> as argued in section 2.1</w:t>
      </w:r>
      <w:r w:rsidR="00626E0F">
        <w:rPr>
          <w:sz w:val="22"/>
          <w:szCs w:val="22"/>
          <w:lang w:val="en-US"/>
        </w:rPr>
        <w:t xml:space="preserve">. </w:t>
      </w:r>
      <w:r w:rsidR="00F21804">
        <w:rPr>
          <w:sz w:val="22"/>
          <w:szCs w:val="22"/>
          <w:lang w:val="en-US"/>
        </w:rPr>
        <w:t>Therefore, we propose to</w:t>
      </w:r>
      <w:r w:rsidR="00626E0F">
        <w:rPr>
          <w:sz w:val="22"/>
          <w:szCs w:val="22"/>
          <w:lang w:val="en-US"/>
        </w:rPr>
        <w:t xml:space="preserve"> not extend the PDSCH-to-HARQ feedback timing indicator and to reuse Rel-15 design for NR-U</w:t>
      </w:r>
      <w:r w:rsidR="002E4F2C">
        <w:rPr>
          <w:sz w:val="22"/>
          <w:szCs w:val="22"/>
          <w:lang w:val="en-US"/>
        </w:rPr>
        <w:t xml:space="preserve"> in Rel-16</w:t>
      </w:r>
      <w:r w:rsidR="007C2FA3">
        <w:rPr>
          <w:sz w:val="22"/>
          <w:szCs w:val="22"/>
          <w:lang w:val="en-US"/>
        </w:rPr>
        <w:t>.</w:t>
      </w:r>
    </w:p>
    <w:p w14:paraId="038AAEBB" w14:textId="6E1493BE" w:rsidR="00626E0F" w:rsidRDefault="00626E0F" w:rsidP="00626E0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NR-U reuses Rel-15 design of </w:t>
      </w:r>
      <w:r w:rsidRPr="00626E0F">
        <w:rPr>
          <w:rFonts w:eastAsia="游明朝"/>
          <w:b/>
          <w:sz w:val="22"/>
          <w:szCs w:val="22"/>
        </w:rPr>
        <w:t>PDSCH-to-HARQ feedback timing indicator</w:t>
      </w:r>
      <w:r>
        <w:rPr>
          <w:rFonts w:eastAsia="游明朝"/>
          <w:b/>
          <w:sz w:val="22"/>
          <w:szCs w:val="22"/>
        </w:rPr>
        <w:t>.</w:t>
      </w:r>
    </w:p>
    <w:p w14:paraId="3DF9CD08" w14:textId="77777777" w:rsidR="00F21804" w:rsidRPr="00F21804" w:rsidRDefault="00F21804" w:rsidP="005C7976">
      <w:pPr>
        <w:spacing w:afterLines="50" w:after="120"/>
        <w:rPr>
          <w:sz w:val="22"/>
          <w:szCs w:val="22"/>
        </w:rPr>
      </w:pPr>
    </w:p>
    <w:p w14:paraId="273E3066" w14:textId="793CA4EE" w:rsidR="00D90DCB" w:rsidRDefault="00D90DCB" w:rsidP="005C7976">
      <w:pPr>
        <w:spacing w:afterLines="50" w:after="120"/>
        <w:rPr>
          <w:sz w:val="22"/>
          <w:szCs w:val="22"/>
        </w:rPr>
      </w:pPr>
    </w:p>
    <w:p w14:paraId="724BF030" w14:textId="56AC11E2" w:rsidR="00D90DCB" w:rsidRPr="00EA4CFF" w:rsidRDefault="002E4F2C" w:rsidP="00D90DCB">
      <w:pPr>
        <w:pStyle w:val="2"/>
        <w:rPr>
          <w:sz w:val="22"/>
          <w:szCs w:val="22"/>
        </w:rPr>
      </w:pPr>
      <w:r>
        <w:rPr>
          <w:rFonts w:hint="eastAsia"/>
          <w:sz w:val="22"/>
          <w:szCs w:val="22"/>
        </w:rPr>
        <w:t>2.3</w:t>
      </w:r>
      <w:r w:rsidR="00D90DCB">
        <w:rPr>
          <w:rFonts w:hint="eastAsia"/>
          <w:sz w:val="22"/>
          <w:szCs w:val="22"/>
        </w:rPr>
        <w:tab/>
      </w:r>
      <w:r w:rsidR="00D90DCB">
        <w:rPr>
          <w:sz w:val="22"/>
          <w:szCs w:val="22"/>
        </w:rPr>
        <w:t>HARQ A/N transmission for corresponding data in a separate COT</w:t>
      </w:r>
    </w:p>
    <w:p w14:paraId="7DE44BBF" w14:textId="4A9BC5FC" w:rsidR="00D90DCB" w:rsidRDefault="00D90DCB" w:rsidP="00D90DCB">
      <w:pPr>
        <w:spacing w:afterLines="50" w:after="120"/>
        <w:rPr>
          <w:sz w:val="22"/>
          <w:szCs w:val="22"/>
          <w:lang w:val="en-US"/>
        </w:rPr>
      </w:pPr>
      <w:r>
        <w:rPr>
          <w:sz w:val="22"/>
          <w:szCs w:val="22"/>
          <w:lang w:val="en-US"/>
        </w:rPr>
        <w:t>During the NR-U SI, cross-COT HARQ-ACK feedback and multiple opportunities for HARQ-ACK feedback had been discussed and following is captured in the section 7.2.1.3.3 of TR38.889 [2].</w:t>
      </w:r>
    </w:p>
    <w:tbl>
      <w:tblPr>
        <w:tblStyle w:val="afa"/>
        <w:tblW w:w="0" w:type="auto"/>
        <w:tblLook w:val="04A0" w:firstRow="1" w:lastRow="0" w:firstColumn="1" w:lastColumn="0" w:noHBand="0" w:noVBand="1"/>
      </w:tblPr>
      <w:tblGrid>
        <w:gridCol w:w="9962"/>
      </w:tblGrid>
      <w:tr w:rsidR="00D90DCB" w14:paraId="1201A204" w14:textId="77777777" w:rsidTr="00D90DCB">
        <w:tc>
          <w:tcPr>
            <w:tcW w:w="9962" w:type="dxa"/>
          </w:tcPr>
          <w:p w14:paraId="58C2EBBC" w14:textId="77777777" w:rsidR="00D90DCB" w:rsidRPr="00D90DCB" w:rsidRDefault="00D90DCB" w:rsidP="00D90DCB">
            <w:pPr>
              <w:rPr>
                <w:rFonts w:eastAsia="SimSun"/>
                <w:sz w:val="20"/>
                <w:lang w:val="en-US" w:eastAsia="x-none"/>
              </w:rPr>
            </w:pPr>
            <w:r w:rsidRPr="00D90DCB">
              <w:rPr>
                <w:rFonts w:eastAsia="SimSun"/>
                <w:sz w:val="20"/>
                <w:lang w:eastAsia="x-none"/>
              </w:rPr>
              <w:t xml:space="preserve">However, it is understood in some cases, the HARQ A/N has to be transmitted in a separate COT from the one the corresponding data was transmitted. </w:t>
            </w:r>
            <w:r w:rsidRPr="00D90DCB">
              <w:rPr>
                <w:rFonts w:eastAsia="SimSun"/>
                <w:bCs/>
                <w:sz w:val="20"/>
                <w:lang w:val="en-US" w:eastAsia="x-none"/>
              </w:rPr>
              <w:t>Introduce</w:t>
            </w:r>
            <w:r w:rsidRPr="00D90DCB">
              <w:rPr>
                <w:rFonts w:eastAsia="SimSun"/>
                <w:sz w:val="20"/>
                <w:lang w:val="en-US" w:eastAsia="x-none"/>
              </w:rPr>
              <w:t xml:space="preserve"> signaling a value of the </w:t>
            </w:r>
            <w:r w:rsidRPr="00D90DCB">
              <w:rPr>
                <w:rFonts w:eastAsia="SimSun"/>
                <w:bCs/>
                <w:sz w:val="20"/>
                <w:lang w:val="en-US" w:eastAsia="x-none"/>
              </w:rPr>
              <w:t>PDSCH-to-HARQ-timing-indicator in the DCI scheduling the PDSCH that tells the UE that the timing and resource for HARQ-ACK feedback for the corresponding PDSCH will be determined later.</w:t>
            </w:r>
          </w:p>
          <w:p w14:paraId="48DA831B" w14:textId="77777777" w:rsidR="00D90DCB" w:rsidRPr="00D90DCB" w:rsidRDefault="00D90DCB" w:rsidP="00D90DCB">
            <w:pPr>
              <w:rPr>
                <w:rFonts w:eastAsia="SimSun"/>
                <w:sz w:val="20"/>
                <w:lang w:eastAsia="x-none"/>
              </w:rPr>
            </w:pPr>
            <w:r w:rsidRPr="00D90DCB">
              <w:rPr>
                <w:rFonts w:eastAsia="SimSun"/>
                <w:sz w:val="20"/>
                <w:lang w:eastAsia="x-none"/>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01E48DA9" w14:textId="77777777" w:rsidR="00D90DCB" w:rsidRPr="00D90DCB" w:rsidRDefault="00D90DCB" w:rsidP="00D90DCB">
            <w:pPr>
              <w:rPr>
                <w:rFonts w:eastAsia="SimSun"/>
                <w:sz w:val="20"/>
                <w:lang w:eastAsia="x-none"/>
              </w:rPr>
            </w:pPr>
            <w:r w:rsidRPr="00D90DCB">
              <w:rPr>
                <w:rFonts w:eastAsia="SimSun"/>
                <w:sz w:val="20"/>
                <w:lang w:eastAsia="x-none"/>
              </w:rPr>
              <w:t>When UL HARQ feedback is transmitted on unlicensed band, NR-U considers mechanisms to support flexible triggering and multiplexing of HARQ feedback for one or more DL HARQ processes</w:t>
            </w:r>
          </w:p>
          <w:p w14:paraId="381B409F" w14:textId="77777777" w:rsidR="00D90DCB" w:rsidRPr="00D90DCB" w:rsidRDefault="00D90DCB" w:rsidP="00D90DCB">
            <w:pPr>
              <w:rPr>
                <w:rFonts w:eastAsia="SimSun"/>
                <w:sz w:val="20"/>
                <w:lang w:eastAsia="en-US"/>
              </w:rPr>
            </w:pPr>
            <w:bookmarkStart w:id="3" w:name="OLE_LINK20"/>
            <w:r w:rsidRPr="00D90DCB">
              <w:rPr>
                <w:rFonts w:eastAsia="SimSun"/>
                <w:sz w:val="20"/>
                <w:lang w:eastAsia="en-US"/>
              </w:rPr>
              <w:lastRenderedPageBreak/>
              <w:t>NR-U should support both the HARQ feedback corresponding to some or all the PDSCHs of a channel occupancy can be reported in the same channel occupancy</w:t>
            </w:r>
            <w:bookmarkEnd w:id="3"/>
            <w:r w:rsidRPr="00D90DCB">
              <w:rPr>
                <w:rFonts w:eastAsia="SimSun"/>
                <w:sz w:val="20"/>
                <w:lang w:eastAsia="en-US"/>
              </w:rPr>
              <w:t xml:space="preserve"> and HARQ feedback corresponding to PDSCHs of a channel occupancy can be reported outside of that channel occupancy. </w:t>
            </w:r>
          </w:p>
          <w:p w14:paraId="088ADE65" w14:textId="713475C1" w:rsidR="00D90DCB" w:rsidRPr="00D90DCB" w:rsidRDefault="00990DC2" w:rsidP="00D90DCB">
            <w:pPr>
              <w:rPr>
                <w:rFonts w:eastAsia="SimSun"/>
                <w:sz w:val="20"/>
                <w:lang w:eastAsia="en-US"/>
              </w:rPr>
            </w:pPr>
            <w:r>
              <w:rPr>
                <w:rFonts w:eastAsia="SimSun"/>
                <w:sz w:val="20"/>
                <w:lang w:eastAsia="en-US"/>
              </w:rPr>
              <w:t>~</w:t>
            </w:r>
          </w:p>
          <w:p w14:paraId="52828FDF" w14:textId="77777777" w:rsidR="00D90DCB" w:rsidRPr="00D90DCB" w:rsidRDefault="00D90DCB" w:rsidP="00D90DCB">
            <w:pPr>
              <w:rPr>
                <w:rFonts w:eastAsia="SimSun"/>
                <w:sz w:val="20"/>
                <w:lang w:eastAsia="en-US"/>
              </w:rPr>
            </w:pPr>
            <w:r w:rsidRPr="00D90DCB">
              <w:rPr>
                <w:rFonts w:eastAsia="SimSun"/>
                <w:sz w:val="20"/>
                <w:lang w:eastAsia="en-US"/>
              </w:rPr>
              <w:t>To support HARQ feedback corresponding to PDSCHs of a channel occupancy can be reported outside of that channel occupancy, the following possible candidate solutions can be considered:</w:t>
            </w:r>
          </w:p>
          <w:p w14:paraId="75D64D47" w14:textId="77777777" w:rsidR="00D90DCB" w:rsidRPr="00D90DCB" w:rsidRDefault="00D90DCB" w:rsidP="00D90DCB">
            <w:pPr>
              <w:ind w:left="568" w:hanging="284"/>
              <w:rPr>
                <w:rFonts w:eastAsia="SimSun"/>
                <w:sz w:val="20"/>
                <w:lang w:eastAsia="x-none"/>
              </w:rPr>
            </w:pPr>
            <w:r w:rsidRPr="00D90DCB">
              <w:rPr>
                <w:rFonts w:eastAsia="SimSun"/>
                <w:sz w:val="20"/>
                <w:lang w:eastAsia="x-none"/>
              </w:rPr>
              <w:t>-</w:t>
            </w:r>
            <w:r w:rsidRPr="00D90DCB">
              <w:rPr>
                <w:rFonts w:eastAsia="SimSun"/>
                <w:sz w:val="20"/>
                <w:lang w:eastAsia="x-none"/>
              </w:rPr>
              <w:tab/>
              <w:t>Alt1: gNB requests/triggers feedback for PDSCH from earlier COT(s)</w:t>
            </w:r>
          </w:p>
          <w:p w14:paraId="395F92E1" w14:textId="77777777" w:rsidR="00D90DCB" w:rsidRPr="00D90DCB" w:rsidRDefault="00D90DCB" w:rsidP="00D90DCB">
            <w:pPr>
              <w:ind w:left="568" w:hanging="284"/>
              <w:rPr>
                <w:rFonts w:eastAsia="SimSun"/>
                <w:sz w:val="20"/>
                <w:lang w:eastAsia="x-none"/>
              </w:rPr>
            </w:pPr>
            <w:r w:rsidRPr="00D90DCB">
              <w:rPr>
                <w:rFonts w:eastAsia="SimSun"/>
                <w:sz w:val="20"/>
                <w:lang w:eastAsia="x-none"/>
              </w:rPr>
              <w:t>-</w:t>
            </w:r>
            <w:r w:rsidRPr="00D90DCB">
              <w:rPr>
                <w:rFonts w:eastAsia="SimSun"/>
                <w:sz w:val="20"/>
                <w:lang w:eastAsia="x-none"/>
              </w:rPr>
              <w:tab/>
              <w:t>Alt2: UE is configured to report HARQ feedback for PDSCH from earlier COT(s) without an explicit request/trigger</w:t>
            </w:r>
          </w:p>
          <w:p w14:paraId="2292A5C5" w14:textId="77777777" w:rsidR="00D90DCB" w:rsidRPr="00D90DCB" w:rsidRDefault="00D90DCB" w:rsidP="00D90DCB">
            <w:pPr>
              <w:ind w:left="568" w:hanging="284"/>
              <w:rPr>
                <w:rFonts w:eastAsia="SimSun"/>
                <w:sz w:val="20"/>
                <w:lang w:eastAsia="x-none"/>
              </w:rPr>
            </w:pPr>
            <w:r w:rsidRPr="00D90DCB">
              <w:rPr>
                <w:rFonts w:eastAsia="SimSun"/>
                <w:sz w:val="20"/>
                <w:lang w:eastAsia="x-none"/>
              </w:rPr>
              <w:t>-</w:t>
            </w:r>
            <w:r w:rsidRPr="00D90DCB">
              <w:rPr>
                <w:rFonts w:eastAsia="SimSun"/>
                <w:sz w:val="20"/>
                <w:lang w:eastAsia="x-none"/>
              </w:rPr>
              <w:tab/>
              <w:t>Alt3: by PDSCH-to-HARQ-timing-indicator in the DCI scheduling the PDSCH</w:t>
            </w:r>
          </w:p>
          <w:p w14:paraId="6EEE3CD9" w14:textId="77777777" w:rsidR="00D90DCB" w:rsidRPr="00D90DCB" w:rsidRDefault="00D90DCB" w:rsidP="00D90DCB">
            <w:pPr>
              <w:rPr>
                <w:rFonts w:eastAsia="SimSun"/>
                <w:bCs/>
                <w:sz w:val="20"/>
                <w:lang w:eastAsia="en-US"/>
              </w:rPr>
            </w:pPr>
            <w:r w:rsidRPr="00D90DCB">
              <w:rPr>
                <w:rFonts w:eastAsia="SimSun"/>
                <w:bCs/>
                <w:sz w:val="20"/>
                <w:lang w:eastAsia="en-US"/>
              </w:rPr>
              <w:t>The alternatives above are at least applicable for the case where there is no HARQ feedback expected in the same channel occupancy as the PDSCH.</w:t>
            </w:r>
          </w:p>
          <w:p w14:paraId="44A13935" w14:textId="77777777" w:rsidR="00D90DCB" w:rsidRPr="00D90DCB" w:rsidRDefault="00D90DCB" w:rsidP="00D90DCB">
            <w:pPr>
              <w:rPr>
                <w:rFonts w:eastAsia="SimSun"/>
                <w:bCs/>
                <w:sz w:val="20"/>
                <w:lang w:eastAsia="en-US"/>
              </w:rPr>
            </w:pPr>
            <w:r w:rsidRPr="00D90DCB">
              <w:rPr>
                <w:rFonts w:eastAsia="SimSun"/>
                <w:sz w:val="20"/>
                <w:lang w:eastAsia="x-none"/>
              </w:rPr>
              <w:t>Further details on</w:t>
            </w:r>
            <w:r w:rsidRPr="00D90DCB">
              <w:rPr>
                <w:rFonts w:eastAsia="SimSun"/>
                <w:sz w:val="20"/>
                <w:lang w:val="en-US" w:eastAsia="x-none"/>
              </w:rPr>
              <w:t xml:space="preserve"> potential solutions to allow cross-COT HARQ-ACK feedback and multiple opportunities for HARQ-ACK feedback are provided in Table 7.2.1.3.3-1.</w:t>
            </w:r>
          </w:p>
          <w:p w14:paraId="781C8124" w14:textId="77777777" w:rsidR="00D90DCB" w:rsidRPr="00D90DCB" w:rsidRDefault="00D90DCB" w:rsidP="00D90DCB">
            <w:pPr>
              <w:keepNext/>
              <w:keepLines/>
              <w:spacing w:before="60"/>
              <w:jc w:val="center"/>
              <w:rPr>
                <w:rFonts w:ascii="Arial" w:eastAsia="SimSun" w:hAnsi="Arial"/>
                <w:b/>
                <w:sz w:val="20"/>
                <w:lang w:eastAsia="x-none"/>
              </w:rPr>
            </w:pPr>
            <w:r w:rsidRPr="00D90DCB">
              <w:rPr>
                <w:rFonts w:ascii="Arial" w:eastAsia="SimSun" w:hAnsi="Arial"/>
                <w:b/>
                <w:sz w:val="20"/>
                <w:lang w:eastAsia="x-none"/>
              </w:rPr>
              <w:t>Table 7.2.1.3.3-1: Possible alternatives to support multiple HARQ-ACK opportunities</w:t>
            </w:r>
          </w:p>
          <w:tbl>
            <w:tblPr>
              <w:tblW w:w="0" w:type="auto"/>
              <w:tblLook w:val="0420" w:firstRow="1" w:lastRow="0" w:firstColumn="0" w:lastColumn="0" w:noHBand="0" w:noVBand="1"/>
            </w:tblPr>
            <w:tblGrid>
              <w:gridCol w:w="3069"/>
              <w:gridCol w:w="3070"/>
              <w:gridCol w:w="3070"/>
            </w:tblGrid>
            <w:tr w:rsidR="00D90DCB" w:rsidRPr="00D90DCB" w14:paraId="52F13154" w14:textId="77777777" w:rsidTr="00171DA8">
              <w:tc>
                <w:tcPr>
                  <w:tcW w:w="3069" w:type="dxa"/>
                </w:tcPr>
                <w:p w14:paraId="78932894" w14:textId="77777777" w:rsidR="00D90DCB" w:rsidRPr="00D90DCB" w:rsidRDefault="00D90DCB" w:rsidP="00D90DCB">
                  <w:pPr>
                    <w:keepNext/>
                    <w:keepLines/>
                    <w:jc w:val="center"/>
                    <w:rPr>
                      <w:rFonts w:ascii="Arial" w:eastAsia="SimSun" w:hAnsi="Arial"/>
                      <w:b/>
                      <w:sz w:val="18"/>
                      <w:lang w:val="en-US" w:eastAsia="x-none"/>
                    </w:rPr>
                  </w:pPr>
                </w:p>
              </w:tc>
              <w:tc>
                <w:tcPr>
                  <w:tcW w:w="3070" w:type="dxa"/>
                </w:tcPr>
                <w:p w14:paraId="4088A230" w14:textId="77777777" w:rsidR="00D90DCB" w:rsidRPr="00D90DCB" w:rsidRDefault="00D90DCB" w:rsidP="00D90DCB">
                  <w:pPr>
                    <w:keepNext/>
                    <w:keepLines/>
                    <w:jc w:val="center"/>
                    <w:rPr>
                      <w:rFonts w:ascii="Arial" w:eastAsia="SimSun" w:hAnsi="Arial"/>
                      <w:b/>
                      <w:sz w:val="18"/>
                      <w:lang w:val="en-US" w:eastAsia="x-none"/>
                    </w:rPr>
                  </w:pPr>
                  <w:r w:rsidRPr="00D90DCB">
                    <w:rPr>
                      <w:rFonts w:ascii="Arial" w:eastAsia="SimSun" w:hAnsi="Arial"/>
                      <w:b/>
                      <w:sz w:val="18"/>
                      <w:lang w:val="en-US" w:eastAsia="x-none"/>
                    </w:rPr>
                    <w:t>C</w:t>
                  </w:r>
                  <w:r w:rsidRPr="00D90DCB">
                    <w:rPr>
                      <w:rFonts w:ascii="Arial" w:eastAsia="SimSun" w:hAnsi="Arial" w:hint="eastAsia"/>
                      <w:b/>
                      <w:sz w:val="18"/>
                      <w:lang w:val="en-US" w:eastAsia="x-none"/>
                    </w:rPr>
                    <w:t>ross-</w:t>
                  </w:r>
                  <w:r w:rsidRPr="00D90DCB">
                    <w:rPr>
                      <w:rFonts w:ascii="Arial" w:eastAsia="SimSun" w:hAnsi="Arial"/>
                      <w:b/>
                      <w:sz w:val="18"/>
                      <w:lang w:val="en-US" w:eastAsia="x-none"/>
                    </w:rPr>
                    <w:t>COT HARQ-ACK feedback</w:t>
                  </w:r>
                </w:p>
              </w:tc>
              <w:tc>
                <w:tcPr>
                  <w:tcW w:w="3070" w:type="dxa"/>
                </w:tcPr>
                <w:p w14:paraId="54C2DEFB" w14:textId="77777777" w:rsidR="00D90DCB" w:rsidRPr="00D90DCB" w:rsidRDefault="00D90DCB" w:rsidP="00D90DCB">
                  <w:pPr>
                    <w:keepNext/>
                    <w:keepLines/>
                    <w:jc w:val="center"/>
                    <w:rPr>
                      <w:rFonts w:ascii="Arial" w:eastAsia="SimSun" w:hAnsi="Arial"/>
                      <w:b/>
                      <w:sz w:val="18"/>
                      <w:lang w:val="en-US" w:eastAsia="x-none"/>
                    </w:rPr>
                  </w:pPr>
                  <w:r w:rsidRPr="00D90DCB">
                    <w:rPr>
                      <w:rFonts w:ascii="Arial" w:eastAsia="SimSun" w:hAnsi="Arial" w:hint="eastAsia"/>
                      <w:b/>
                      <w:sz w:val="18"/>
                      <w:lang w:val="en-US" w:eastAsia="x-none"/>
                    </w:rPr>
                    <w:t xml:space="preserve">Multiple opportunities for </w:t>
                  </w:r>
                  <w:r w:rsidRPr="00D90DCB">
                    <w:rPr>
                      <w:rFonts w:ascii="Arial" w:eastAsia="SimSun" w:hAnsi="Arial"/>
                      <w:b/>
                      <w:sz w:val="18"/>
                      <w:lang w:val="en-US" w:eastAsia="x-none"/>
                    </w:rPr>
                    <w:t>HARQ-ACK feedback</w:t>
                  </w:r>
                </w:p>
              </w:tc>
            </w:tr>
            <w:tr w:rsidR="00D90DCB" w:rsidRPr="00D90DCB" w14:paraId="11DE67AC" w14:textId="77777777" w:rsidTr="00171DA8">
              <w:trPr>
                <w:trHeight w:val="1575"/>
              </w:trPr>
              <w:tc>
                <w:tcPr>
                  <w:tcW w:w="3069" w:type="dxa"/>
                </w:tcPr>
                <w:p w14:paraId="09FE3DCF"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
                      <w:sz w:val="18"/>
                      <w:lang w:val="en-US" w:eastAsia="x-none"/>
                    </w:rPr>
                    <w:t>A</w:t>
                  </w:r>
                  <w:r w:rsidRPr="00D90DCB">
                    <w:rPr>
                      <w:rFonts w:ascii="Arial" w:eastAsia="SimSun" w:hAnsi="Arial" w:hint="eastAsia"/>
                      <w:b/>
                      <w:sz w:val="18"/>
                      <w:lang w:val="en-US" w:eastAsia="x-none"/>
                    </w:rPr>
                    <w:t>lt1</w:t>
                  </w:r>
                  <w:r w:rsidRPr="00D90DCB">
                    <w:rPr>
                      <w:rFonts w:ascii="Arial" w:eastAsia="SimSun" w:hAnsi="Arial"/>
                      <w:sz w:val="18"/>
                      <w:lang w:val="en-US" w:eastAsia="x-none"/>
                    </w:rPr>
                    <w:t xml:space="preserve">: gNB requests/triggers feedback for PDSCH from earlier COT(s) or additional reporting of earlier HARQ feedback, where </w:t>
                  </w:r>
                  <w:r w:rsidRPr="00D90DCB">
                    <w:rPr>
                      <w:rFonts w:ascii="Arial" w:eastAsia="SimSun" w:hAnsi="Arial"/>
                      <w:bCs/>
                      <w:sz w:val="18"/>
                      <w:lang w:val="en-US" w:eastAsia="x-none"/>
                    </w:rPr>
                    <w:t>the exact HARQ feedback timing and resource is provided to the UE in another DCI (in the same or in another COT)</w:t>
                  </w:r>
                </w:p>
              </w:tc>
              <w:tc>
                <w:tcPr>
                  <w:tcW w:w="6140" w:type="dxa"/>
                  <w:gridSpan w:val="2"/>
                </w:tcPr>
                <w:p w14:paraId="7995DCF4"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
                      <w:sz w:val="18"/>
                      <w:lang w:val="en-US" w:eastAsia="x-none"/>
                    </w:rPr>
                    <w:t>Alt1a</w:t>
                  </w:r>
                  <w:r w:rsidRPr="00D90DCB">
                    <w:rPr>
                      <w:rFonts w:ascii="Arial" w:eastAsia="SimSun" w:hAnsi="Arial"/>
                      <w:sz w:val="18"/>
                      <w:lang w:val="en-US" w:eastAsia="x-none"/>
                    </w:rPr>
                    <w:t>: request/trigger reporting of HARQ feedback for earlier COT(s) or additional reporting of earlier HARQ feedback without explicit signaling of HARQ process ID</w:t>
                  </w:r>
                  <w:r w:rsidRPr="00D90DCB">
                    <w:rPr>
                      <w:rFonts w:ascii="Arial" w:eastAsia="SimSun" w:hAnsi="Arial" w:hint="eastAsia"/>
                      <w:sz w:val="18"/>
                      <w:lang w:val="en-US" w:eastAsia="x-none"/>
                    </w:rPr>
                    <w:t xml:space="preserve">, </w:t>
                  </w:r>
                  <w:r w:rsidRPr="00D90DCB">
                    <w:rPr>
                      <w:rFonts w:ascii="Arial" w:eastAsia="SimSun" w:hAnsi="Arial"/>
                      <w:sz w:val="18"/>
                      <w:lang w:val="en-US" w:eastAsia="x-none"/>
                    </w:rPr>
                    <w:t>possibly along with other HARQ feedback reports (e.g. for the current COT)</w:t>
                  </w:r>
                </w:p>
                <w:p w14:paraId="054A63AC"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
                      <w:sz w:val="18"/>
                      <w:lang w:val="en-US" w:eastAsia="x-none"/>
                    </w:rPr>
                    <w:t>Alt1b</w:t>
                  </w:r>
                  <w:r w:rsidRPr="00D90DCB">
                    <w:rPr>
                      <w:rFonts w:ascii="Arial" w:eastAsia="SimSun" w:hAnsi="Arial"/>
                      <w:sz w:val="18"/>
                      <w:lang w:val="en-US" w:eastAsia="x-none"/>
                    </w:rPr>
                    <w:t>: request/trigger reporting for a set of HARQ processes, either for all configured HARQ processes (e.g. group feedback), or for a set of HARQ process IDs or HARQ process ID groups</w:t>
                  </w:r>
                </w:p>
              </w:tc>
            </w:tr>
            <w:tr w:rsidR="00D90DCB" w:rsidRPr="00D90DCB" w14:paraId="0190C744" w14:textId="77777777" w:rsidTr="00171DA8">
              <w:trPr>
                <w:trHeight w:val="984"/>
              </w:trPr>
              <w:tc>
                <w:tcPr>
                  <w:tcW w:w="3069" w:type="dxa"/>
                </w:tcPr>
                <w:p w14:paraId="1C3BEF14"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hint="eastAsia"/>
                      <w:b/>
                      <w:sz w:val="18"/>
                      <w:lang w:val="en-US" w:eastAsia="x-none"/>
                    </w:rPr>
                    <w:t>Alt2</w:t>
                  </w:r>
                  <w:r w:rsidRPr="00D90DCB">
                    <w:rPr>
                      <w:rFonts w:ascii="Arial" w:eastAsia="SimSun" w:hAnsi="Arial"/>
                      <w:sz w:val="18"/>
                      <w:lang w:val="en-US" w:eastAsia="x-none"/>
                    </w:rPr>
                    <w:t xml:space="preserve">: UE is configured/allowed to report HARQ feedback for PDSCH from earlier COT(s) without an explicit request/trigger </w:t>
                  </w:r>
                </w:p>
              </w:tc>
              <w:tc>
                <w:tcPr>
                  <w:tcW w:w="6140" w:type="dxa"/>
                  <w:gridSpan w:val="2"/>
                </w:tcPr>
                <w:p w14:paraId="424F9195" w14:textId="77777777" w:rsidR="00D90DCB" w:rsidRPr="00D90DCB" w:rsidRDefault="00D90DCB" w:rsidP="00D90DCB">
                  <w:pPr>
                    <w:keepNext/>
                    <w:keepLines/>
                    <w:rPr>
                      <w:rFonts w:ascii="Arial" w:eastAsia="SimSun" w:hAnsi="Arial"/>
                      <w:bCs/>
                      <w:sz w:val="18"/>
                      <w:lang w:val="en-US" w:eastAsia="x-none"/>
                    </w:rPr>
                  </w:pPr>
                  <w:r w:rsidRPr="00D90DCB">
                    <w:rPr>
                      <w:rFonts w:ascii="Arial" w:eastAsia="SimSun" w:hAnsi="Arial"/>
                      <w:bCs/>
                      <w:sz w:val="18"/>
                      <w:lang w:val="en-US" w:eastAsia="x-none"/>
                    </w:rPr>
                    <w:t>UE autonomously reports UCI with additional information about HARQ processes - e.g. corresponding to PDSCH from earlier COT(s) - that are reported in PUSCH [or PUCCH] along with the HARQ-ACK feedback.</w:t>
                  </w:r>
                </w:p>
              </w:tc>
            </w:tr>
            <w:tr w:rsidR="00D90DCB" w:rsidRPr="00D90DCB" w14:paraId="7D2CD561" w14:textId="77777777" w:rsidTr="00171DA8">
              <w:trPr>
                <w:trHeight w:val="1400"/>
              </w:trPr>
              <w:tc>
                <w:tcPr>
                  <w:tcW w:w="3069" w:type="dxa"/>
                </w:tcPr>
                <w:p w14:paraId="2A392FC8" w14:textId="77777777" w:rsidR="00D90DCB" w:rsidRPr="00D90DCB" w:rsidRDefault="00D90DCB" w:rsidP="00D90DCB">
                  <w:pPr>
                    <w:keepNext/>
                    <w:keepLines/>
                    <w:rPr>
                      <w:rFonts w:ascii="Arial" w:eastAsia="SimSun" w:hAnsi="Arial"/>
                      <w:bCs/>
                      <w:sz w:val="18"/>
                      <w:lang w:val="en-US" w:eastAsia="x-none"/>
                    </w:rPr>
                  </w:pPr>
                  <w:r w:rsidRPr="00D90DCB">
                    <w:rPr>
                      <w:rFonts w:ascii="Arial" w:eastAsia="SimSun" w:hAnsi="Arial" w:hint="eastAsia"/>
                      <w:b/>
                      <w:sz w:val="18"/>
                      <w:lang w:val="en-US" w:eastAsia="x-none"/>
                    </w:rPr>
                    <w:t>Alt3</w:t>
                  </w:r>
                  <w:r w:rsidRPr="00D90DCB">
                    <w:rPr>
                      <w:rFonts w:ascii="Arial" w:eastAsia="SimSun" w:hAnsi="Arial"/>
                      <w:sz w:val="18"/>
                      <w:lang w:val="en-US" w:eastAsia="x-none"/>
                    </w:rPr>
                    <w:t xml:space="preserve">: gNB requests feedback outside the COT by </w:t>
                  </w:r>
                  <w:r w:rsidRPr="00D90DCB">
                    <w:rPr>
                      <w:rFonts w:ascii="Arial" w:eastAsia="SimSun" w:hAnsi="Arial"/>
                      <w:bCs/>
                      <w:sz w:val="18"/>
                      <w:lang w:val="en-US" w:eastAsia="x-none"/>
                    </w:rPr>
                    <w:t>PDSCH-to-HARQ-timing-indicator in the DCI scheduling the PDSCH</w:t>
                  </w:r>
                </w:p>
              </w:tc>
              <w:tc>
                <w:tcPr>
                  <w:tcW w:w="3070" w:type="dxa"/>
                </w:tcPr>
                <w:p w14:paraId="6EEAC859"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Cs/>
                      <w:sz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tcPr>
                <w:p w14:paraId="4014E89E"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sz w:val="18"/>
                      <w:lang w:val="en-US" w:eastAsia="x-none"/>
                    </w:rPr>
                    <w:t xml:space="preserve">Not a solution if </w:t>
                  </w:r>
                  <w:r w:rsidRPr="00D90DCB">
                    <w:rPr>
                      <w:rFonts w:ascii="Arial" w:eastAsia="SimSun" w:hAnsi="Arial"/>
                      <w:bCs/>
                      <w:sz w:val="18"/>
                      <w:lang w:val="en-US" w:eastAsia="x-none"/>
                    </w:rPr>
                    <w:t>PDSCH-to-HARQ-timing-indicator can only indicate a single value</w:t>
                  </w:r>
                </w:p>
              </w:tc>
            </w:tr>
            <w:tr w:rsidR="00D90DCB" w:rsidRPr="00D90DCB" w14:paraId="36F006C2" w14:textId="77777777" w:rsidTr="00171DA8">
              <w:trPr>
                <w:trHeight w:val="662"/>
              </w:trPr>
              <w:tc>
                <w:tcPr>
                  <w:tcW w:w="3069" w:type="dxa"/>
                </w:tcPr>
                <w:p w14:paraId="3C02DE3A"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
                      <w:sz w:val="18"/>
                      <w:lang w:val="en-US" w:eastAsia="x-none"/>
                    </w:rPr>
                    <w:t>A</w:t>
                  </w:r>
                  <w:r w:rsidRPr="00D90DCB">
                    <w:rPr>
                      <w:rFonts w:ascii="Arial" w:eastAsia="SimSun" w:hAnsi="Arial" w:hint="eastAsia"/>
                      <w:b/>
                      <w:sz w:val="18"/>
                      <w:lang w:val="en-US" w:eastAsia="x-none"/>
                    </w:rPr>
                    <w:t>lt4</w:t>
                  </w:r>
                  <w:r w:rsidRPr="00D90DCB">
                    <w:rPr>
                      <w:rFonts w:ascii="Arial" w:eastAsia="SimSun" w:hAnsi="Arial"/>
                      <w:sz w:val="18"/>
                      <w:lang w:val="en-US" w:eastAsia="x-none"/>
                    </w:rPr>
                    <w:t>: preconfigured/pre-indicated multiple opportunities in frequency domain in different LBT subbands</w:t>
                  </w:r>
                </w:p>
              </w:tc>
              <w:tc>
                <w:tcPr>
                  <w:tcW w:w="3070" w:type="dxa"/>
                </w:tcPr>
                <w:p w14:paraId="551437CD"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hint="eastAsia"/>
                      <w:sz w:val="18"/>
                      <w:lang w:val="en-US" w:eastAsia="x-none"/>
                    </w:rPr>
                    <w:t>Possible</w:t>
                  </w:r>
                  <w:r w:rsidRPr="00D90DCB">
                    <w:rPr>
                      <w:rFonts w:ascii="Arial" w:eastAsia="SimSun" w:hAnsi="Arial"/>
                      <w:sz w:val="18"/>
                      <w:lang w:val="en-US" w:eastAsia="x-none"/>
                    </w:rPr>
                    <w:t xml:space="preserve"> if this is combined with Alt1 or Alt2 or Alt3</w:t>
                  </w:r>
                </w:p>
              </w:tc>
              <w:tc>
                <w:tcPr>
                  <w:tcW w:w="3070" w:type="dxa"/>
                </w:tcPr>
                <w:p w14:paraId="03ADA06C"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sz w:val="18"/>
                      <w:lang w:val="en-US" w:eastAsia="x-none"/>
                    </w:rPr>
                    <w:t>Possible for indicating multiple candidate PUCCH or PUSCH carrying HARQ-ACK feedback</w:t>
                  </w:r>
                </w:p>
              </w:tc>
            </w:tr>
            <w:tr w:rsidR="00D90DCB" w:rsidRPr="00D90DCB" w14:paraId="4ED247E8" w14:textId="77777777" w:rsidTr="00171DA8">
              <w:tc>
                <w:tcPr>
                  <w:tcW w:w="3069" w:type="dxa"/>
                </w:tcPr>
                <w:p w14:paraId="31400ACF"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hint="eastAsia"/>
                      <w:b/>
                      <w:sz w:val="18"/>
                      <w:lang w:val="en-US" w:eastAsia="x-none"/>
                    </w:rPr>
                    <w:t>Alt5</w:t>
                  </w:r>
                  <w:r w:rsidRPr="00D90DCB">
                    <w:rPr>
                      <w:rFonts w:ascii="Arial" w:eastAsia="SimSun" w:hAnsi="Arial"/>
                      <w:sz w:val="18"/>
                      <w:lang w:val="en-US" w:eastAsia="x-none"/>
                    </w:rPr>
                    <w:t>: preconfigured/pre-indicated multiple opportunities in time domain</w:t>
                  </w:r>
                </w:p>
              </w:tc>
              <w:tc>
                <w:tcPr>
                  <w:tcW w:w="3070" w:type="dxa"/>
                </w:tcPr>
                <w:p w14:paraId="00EB61DF"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bCs/>
                      <w:sz w:val="18"/>
                      <w:lang w:val="en-US" w:eastAsia="x-none"/>
                    </w:rPr>
                    <w:t xml:space="preserve">The UE will attempt reporting at the </w:t>
                  </w:r>
                  <w:r w:rsidRPr="00D90DCB">
                    <w:rPr>
                      <w:rFonts w:ascii="Arial" w:eastAsia="SimSun" w:hAnsi="Arial"/>
                      <w:sz w:val="18"/>
                      <w:lang w:val="en-US" w:eastAsia="x-none"/>
                    </w:rPr>
                    <w:t>preconfigured/pre-indicated</w:t>
                  </w:r>
                  <w:r w:rsidRPr="00D90DCB">
                    <w:rPr>
                      <w:rFonts w:ascii="Arial" w:eastAsia="SimSun" w:hAnsi="Arial"/>
                      <w:bCs/>
                      <w:sz w:val="18"/>
                      <w:lang w:val="en-US" w:eastAsia="x-none"/>
                    </w:rPr>
                    <w:t xml:space="preserve"> times and resources (e.g. in a UE-initiated channel occupancy)</w:t>
                  </w:r>
                </w:p>
              </w:tc>
              <w:tc>
                <w:tcPr>
                  <w:tcW w:w="3070" w:type="dxa"/>
                </w:tcPr>
                <w:p w14:paraId="6116641A"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sz w:val="18"/>
                      <w:lang w:val="en-US" w:eastAsia="x-none"/>
                    </w:rPr>
                    <w:t>Alt5a: Multiple candidate opportunities by providing multiple timings in PDSCH-to-HARQ-timing-indicator and/or other DCI fields</w:t>
                  </w:r>
                </w:p>
                <w:p w14:paraId="330B2D36" w14:textId="77777777" w:rsidR="00D90DCB" w:rsidRPr="00D90DCB" w:rsidRDefault="00D90DCB" w:rsidP="00D90DCB">
                  <w:pPr>
                    <w:keepNext/>
                    <w:keepLines/>
                    <w:rPr>
                      <w:rFonts w:ascii="Arial" w:eastAsia="SimSun" w:hAnsi="Arial"/>
                      <w:sz w:val="18"/>
                      <w:lang w:val="en-US" w:eastAsia="x-none"/>
                    </w:rPr>
                  </w:pPr>
                  <w:r w:rsidRPr="00D90DCB">
                    <w:rPr>
                      <w:rFonts w:ascii="Arial" w:eastAsia="SimSun" w:hAnsi="Arial"/>
                      <w:sz w:val="18"/>
                      <w:lang w:val="en-US" w:eastAsia="x-none"/>
                    </w:rPr>
                    <w:t>Alt5b: Multiple candidate slots in a window with size configured by RRC. There could be some activation/deactivation by DCI</w:t>
                  </w:r>
                </w:p>
              </w:tc>
            </w:tr>
          </w:tbl>
          <w:p w14:paraId="741D8092" w14:textId="77777777" w:rsidR="00D90DCB" w:rsidRPr="00D90DCB" w:rsidRDefault="00D90DCB" w:rsidP="00D90DCB">
            <w:pPr>
              <w:rPr>
                <w:rFonts w:eastAsia="SimSun"/>
                <w:sz w:val="20"/>
                <w:lang w:eastAsia="en-US"/>
              </w:rPr>
            </w:pPr>
          </w:p>
          <w:p w14:paraId="497B15D6" w14:textId="4B03F1CE" w:rsidR="00D90DCB" w:rsidRPr="00D90DCB" w:rsidRDefault="00D90DCB" w:rsidP="00D90DCB">
            <w:pPr>
              <w:rPr>
                <w:rFonts w:eastAsia="SimSun"/>
                <w:bCs/>
                <w:sz w:val="20"/>
                <w:lang w:eastAsia="x-none"/>
              </w:rPr>
            </w:pPr>
            <w:r w:rsidRPr="00D90DCB">
              <w:rPr>
                <w:rFonts w:eastAsia="SimSun"/>
                <w:bCs/>
                <w:sz w:val="20"/>
                <w:lang w:eastAsia="x-none"/>
              </w:rPr>
              <w:t xml:space="preserve">A possible enhancement for dynamic HARQ codebook is to support a larger DAI field to accommodate for possibly missing more than 4 PDSCH transmissions, which is more likely to occur on unlicensed spectrum. </w:t>
            </w:r>
            <w:r w:rsidRPr="00D90DCB">
              <w:rPr>
                <w:rFonts w:eastAsia="SimSun"/>
                <w:sz w:val="20"/>
                <w:lang w:eastAsia="x-none"/>
              </w:rPr>
              <w:t>Enhancements are necessary for aligning the dynamic HARQ codebook between UE and gNB</w:t>
            </w:r>
            <w:r w:rsidRPr="00D90DCB">
              <w:rPr>
                <w:rFonts w:eastAsia="SimSun"/>
                <w:bCs/>
                <w:sz w:val="20"/>
                <w:lang w:eastAsia="x-none"/>
              </w:rPr>
              <w:t>. Alt. 1</w:t>
            </w:r>
            <w:r w:rsidRPr="00D90DCB">
              <w:rPr>
                <w:rFonts w:eastAsia="SimSun"/>
                <w:sz w:val="20"/>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4" w:name="OLE_LINK7"/>
            <w:bookmarkStart w:id="5" w:name="OLE_LINK9"/>
            <w:r w:rsidRPr="00D90DCB">
              <w:rPr>
                <w:rFonts w:eastAsia="SimSun"/>
                <w:sz w:val="20"/>
                <w:lang w:eastAsia="x-none"/>
              </w:rPr>
              <w:t>or in case of HARQ-ACK feedback pending from earlier COT(s)</w:t>
            </w:r>
            <w:bookmarkEnd w:id="4"/>
            <w:bookmarkEnd w:id="5"/>
            <w:r w:rsidRPr="00D90DCB">
              <w:rPr>
                <w:rFonts w:eastAsia="SimSun"/>
                <w:bCs/>
                <w:sz w:val="20"/>
                <w:lang w:eastAsia="x-none"/>
              </w:rPr>
              <w:t xml:space="preserve">. </w:t>
            </w:r>
            <w:r w:rsidRPr="00D90DCB">
              <w:rPr>
                <w:rFonts w:eastAsia="SimSun"/>
                <w:sz w:val="20"/>
                <w:lang w:eastAsia="x-none"/>
              </w:rPr>
              <w:t xml:space="preserve">Alt. 2 in the table allows reporting </w:t>
            </w:r>
            <w:r w:rsidRPr="00D90DCB">
              <w:rPr>
                <w:rFonts w:eastAsia="SimSun"/>
                <w:sz w:val="20"/>
                <w:lang w:eastAsia="x-none"/>
              </w:rPr>
              <w:lastRenderedPageBreak/>
              <w:t>unreported HARQ-ACK feedback in case of LBT failure for PUCCH/PUSCH transmission, or in case of HARQ-ACK feedback pending from earlier COT(s).</w:t>
            </w:r>
          </w:p>
        </w:tc>
      </w:tr>
    </w:tbl>
    <w:p w14:paraId="269031ED" w14:textId="6B29054C" w:rsidR="00D90DCB" w:rsidRPr="00D90DCB" w:rsidRDefault="00D90DCB" w:rsidP="005C7976">
      <w:pPr>
        <w:spacing w:afterLines="50" w:after="120"/>
        <w:rPr>
          <w:sz w:val="22"/>
          <w:szCs w:val="22"/>
          <w:lang w:val="en-US"/>
        </w:rPr>
      </w:pPr>
    </w:p>
    <w:p w14:paraId="1FBD33FD" w14:textId="36FADF4E" w:rsidR="00D90DCB" w:rsidRDefault="00022FFF" w:rsidP="00937079">
      <w:pPr>
        <w:spacing w:afterLines="50" w:after="120"/>
        <w:rPr>
          <w:sz w:val="22"/>
          <w:szCs w:val="22"/>
        </w:rPr>
      </w:pPr>
      <w:r>
        <w:rPr>
          <w:sz w:val="22"/>
          <w:szCs w:val="22"/>
          <w:lang w:val="en-US"/>
        </w:rPr>
        <w:t>In case that</w:t>
      </w:r>
      <w:r>
        <w:rPr>
          <w:rFonts w:hint="eastAsia"/>
          <w:sz w:val="22"/>
          <w:szCs w:val="22"/>
        </w:rPr>
        <w:t xml:space="preserve"> the </w:t>
      </w:r>
      <w:r>
        <w:rPr>
          <w:sz w:val="22"/>
          <w:szCs w:val="22"/>
        </w:rPr>
        <w:t xml:space="preserve">HARQ A/N </w:t>
      </w:r>
      <w:r w:rsidRPr="00022FFF">
        <w:rPr>
          <w:sz w:val="22"/>
          <w:szCs w:val="22"/>
        </w:rPr>
        <w:t>has to be transmitted in a separate COT from the one the corresponding data was transmitted</w:t>
      </w:r>
      <w:r>
        <w:rPr>
          <w:sz w:val="22"/>
          <w:szCs w:val="22"/>
        </w:rPr>
        <w:t>, actual resource/timing for the HARQ A/N transmission cannot be determined when the scheduling DCI for the data is transmitted. Therefore, instead of PDSCH-to-HARQ-timing indication or LBT mechanism indication, the scheduling DCI in this case should indicate that HARQ A/N has to be transmitted in a separate COT and resource/timing for the HARQ A/N transmission will be determined later.</w:t>
      </w:r>
      <w:r w:rsidR="00990DC2">
        <w:rPr>
          <w:sz w:val="22"/>
          <w:szCs w:val="22"/>
        </w:rPr>
        <w:t xml:space="preserve"> Otherwise, if the scheduling DCI indicates resource/timing for the HARQ A/N transmission outside the COT, it may not be available due to LBT failure. In addition, if the scheduling DCI indicates multiple candidate resources/timings for the HARQ A/N transmission outside the COT, it is inefficient since only one of them will be used for actual HARQ A/N transmission. Therefore, among potential solutions discussed during SI, we propose to support Alt.1: </w:t>
      </w:r>
      <w:r w:rsidR="00990DC2" w:rsidRPr="00990DC2">
        <w:rPr>
          <w:sz w:val="22"/>
          <w:szCs w:val="22"/>
        </w:rPr>
        <w:t>gNB requests/triggers feedback for PDSCH from earlier COT(s)</w:t>
      </w:r>
      <w:r w:rsidR="00990DC2">
        <w:rPr>
          <w:sz w:val="22"/>
          <w:szCs w:val="22"/>
        </w:rPr>
        <w:t>, as a mechanism for HARQ A/N transmission in a separate COT.</w:t>
      </w:r>
      <w:r w:rsidR="00937079">
        <w:rPr>
          <w:sz w:val="22"/>
          <w:szCs w:val="22"/>
        </w:rPr>
        <w:t xml:space="preserve"> </w:t>
      </w:r>
      <w:r w:rsidR="00937079">
        <w:rPr>
          <w:rFonts w:hint="eastAsia"/>
          <w:sz w:val="22"/>
          <w:szCs w:val="22"/>
        </w:rPr>
        <w:t xml:space="preserve">Another DCI providing HARQ feedback timing and resource </w:t>
      </w:r>
      <w:r w:rsidR="009B56A7">
        <w:rPr>
          <w:sz w:val="22"/>
          <w:szCs w:val="22"/>
        </w:rPr>
        <w:t>may</w:t>
      </w:r>
      <w:r w:rsidR="00937079">
        <w:rPr>
          <w:sz w:val="22"/>
          <w:szCs w:val="22"/>
        </w:rPr>
        <w:t xml:space="preserve"> also indicate explicit HARQ process IDs or HARQ process ID groups so that gNB can request/trigger missed or unreported HARQ feedback again.</w:t>
      </w:r>
    </w:p>
    <w:p w14:paraId="1BE2B39B" w14:textId="25E627E9" w:rsidR="00990DC2" w:rsidRDefault="00990DC2" w:rsidP="00990DC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Following mechanism is supported for HARQ A/N transmission in a separate COT from the one the corresponding data was transmitted.</w:t>
      </w:r>
    </w:p>
    <w:p w14:paraId="0995DF87" w14:textId="2205998A" w:rsidR="00990DC2" w:rsidRDefault="00990DC2" w:rsidP="00990DC2">
      <w:pPr>
        <w:pStyle w:val="afc"/>
        <w:numPr>
          <w:ilvl w:val="0"/>
          <w:numId w:val="17"/>
        </w:numPr>
        <w:spacing w:afterLines="50" w:after="120"/>
        <w:ind w:leftChars="0"/>
        <w:jc w:val="both"/>
        <w:rPr>
          <w:rFonts w:eastAsia="游明朝"/>
          <w:b/>
          <w:sz w:val="22"/>
          <w:szCs w:val="22"/>
        </w:rPr>
      </w:pPr>
      <w:r>
        <w:rPr>
          <w:rFonts w:eastAsia="游明朝" w:hint="eastAsia"/>
          <w:b/>
          <w:sz w:val="22"/>
          <w:szCs w:val="22"/>
        </w:rPr>
        <w:t xml:space="preserve">The scheduling DCI indicates that </w:t>
      </w:r>
      <w:r w:rsidRPr="00990DC2">
        <w:rPr>
          <w:rFonts w:eastAsia="游明朝"/>
          <w:b/>
          <w:sz w:val="22"/>
          <w:szCs w:val="22"/>
        </w:rPr>
        <w:t>HARQ A/N has to be transmitted in a separate COT and resource/timing for the HARQ A/N transmission will be determined later</w:t>
      </w:r>
      <w:r>
        <w:rPr>
          <w:rFonts w:eastAsia="游明朝"/>
          <w:b/>
          <w:sz w:val="22"/>
          <w:szCs w:val="22"/>
        </w:rPr>
        <w:t xml:space="preserve">, instead of </w:t>
      </w:r>
      <w:r w:rsidRPr="00990DC2">
        <w:rPr>
          <w:rFonts w:eastAsia="游明朝"/>
          <w:b/>
          <w:sz w:val="22"/>
          <w:szCs w:val="22"/>
        </w:rPr>
        <w:t xml:space="preserve">PDSCH-to-HARQ-timing indication </w:t>
      </w:r>
      <w:r w:rsidR="002E4F2C">
        <w:rPr>
          <w:rFonts w:eastAsia="游明朝"/>
          <w:b/>
          <w:sz w:val="22"/>
          <w:szCs w:val="22"/>
        </w:rPr>
        <w:t>and/</w:t>
      </w:r>
      <w:r w:rsidRPr="00990DC2">
        <w:rPr>
          <w:rFonts w:eastAsia="游明朝"/>
          <w:b/>
          <w:sz w:val="22"/>
          <w:szCs w:val="22"/>
        </w:rPr>
        <w:t>or LBT mechanism indication</w:t>
      </w:r>
      <w:r>
        <w:rPr>
          <w:rFonts w:eastAsia="游明朝"/>
          <w:b/>
          <w:sz w:val="22"/>
          <w:szCs w:val="22"/>
        </w:rPr>
        <w:t>.</w:t>
      </w:r>
    </w:p>
    <w:p w14:paraId="195DD020" w14:textId="357A998E" w:rsidR="00990DC2" w:rsidRPr="00990DC2" w:rsidRDefault="00990DC2" w:rsidP="003423C6">
      <w:pPr>
        <w:pStyle w:val="afc"/>
        <w:numPr>
          <w:ilvl w:val="0"/>
          <w:numId w:val="17"/>
        </w:numPr>
        <w:spacing w:afterLines="50" w:after="120"/>
        <w:ind w:leftChars="0"/>
        <w:jc w:val="both"/>
        <w:rPr>
          <w:rFonts w:eastAsia="游明朝"/>
          <w:b/>
          <w:sz w:val="22"/>
          <w:szCs w:val="22"/>
        </w:rPr>
      </w:pPr>
      <w:r>
        <w:rPr>
          <w:rFonts w:eastAsia="游明朝"/>
          <w:b/>
          <w:sz w:val="22"/>
          <w:szCs w:val="22"/>
        </w:rPr>
        <w:t xml:space="preserve">Another DCI in the same or in another COT </w:t>
      </w:r>
      <w:r w:rsidR="003423C6">
        <w:rPr>
          <w:rFonts w:eastAsia="游明朝"/>
          <w:b/>
          <w:sz w:val="22"/>
          <w:szCs w:val="22"/>
        </w:rPr>
        <w:t xml:space="preserve">provides </w:t>
      </w:r>
      <w:r w:rsidR="00937079">
        <w:rPr>
          <w:rFonts w:eastAsia="游明朝"/>
          <w:b/>
          <w:sz w:val="22"/>
          <w:szCs w:val="22"/>
        </w:rPr>
        <w:t>exact HARQ feedback timing/</w:t>
      </w:r>
      <w:r w:rsidR="003423C6" w:rsidRPr="003423C6">
        <w:rPr>
          <w:rFonts w:eastAsia="游明朝"/>
          <w:b/>
          <w:sz w:val="22"/>
          <w:szCs w:val="22"/>
        </w:rPr>
        <w:t>resource</w:t>
      </w:r>
      <w:r w:rsidR="00937079">
        <w:rPr>
          <w:rFonts w:eastAsia="游明朝"/>
          <w:b/>
          <w:sz w:val="22"/>
          <w:szCs w:val="22"/>
        </w:rPr>
        <w:t xml:space="preserve"> and </w:t>
      </w:r>
      <w:r w:rsidR="009B56A7">
        <w:rPr>
          <w:rFonts w:eastAsia="游明朝"/>
          <w:b/>
          <w:sz w:val="22"/>
          <w:szCs w:val="22"/>
        </w:rPr>
        <w:t xml:space="preserve">potentially </w:t>
      </w:r>
      <w:r w:rsidR="00937079">
        <w:rPr>
          <w:rFonts w:eastAsia="游明朝"/>
          <w:b/>
          <w:sz w:val="22"/>
          <w:szCs w:val="22"/>
        </w:rPr>
        <w:t>corresponding HARQ process ID</w:t>
      </w:r>
      <w:r w:rsidR="003423C6">
        <w:rPr>
          <w:rFonts w:eastAsia="游明朝"/>
          <w:b/>
          <w:sz w:val="22"/>
          <w:szCs w:val="22"/>
        </w:rPr>
        <w:t>.</w:t>
      </w:r>
    </w:p>
    <w:p w14:paraId="0A6945DB" w14:textId="1BD9DD76" w:rsidR="003423C6" w:rsidRPr="00937079" w:rsidRDefault="003423C6" w:rsidP="005C7976">
      <w:pPr>
        <w:spacing w:afterLines="50" w:after="120"/>
        <w:rPr>
          <w:sz w:val="22"/>
          <w:szCs w:val="22"/>
        </w:rPr>
      </w:pPr>
    </w:p>
    <w:p w14:paraId="1011C007" w14:textId="3FF42D62" w:rsidR="003423C6" w:rsidRDefault="00D83B86" w:rsidP="005C7976">
      <w:pPr>
        <w:spacing w:afterLines="50" w:after="120"/>
        <w:rPr>
          <w:sz w:val="22"/>
          <w:szCs w:val="22"/>
        </w:rPr>
      </w:pPr>
      <w:r>
        <w:rPr>
          <w:sz w:val="22"/>
          <w:szCs w:val="22"/>
        </w:rPr>
        <w:t xml:space="preserve">In order to align the dynamic HARQ codebook between UE and gNB, </w:t>
      </w:r>
      <w:r w:rsidR="00937079" w:rsidRPr="00937079">
        <w:rPr>
          <w:sz w:val="22"/>
          <w:szCs w:val="22"/>
        </w:rPr>
        <w:t xml:space="preserve">support </w:t>
      </w:r>
      <w:r w:rsidR="00937079">
        <w:rPr>
          <w:sz w:val="22"/>
          <w:szCs w:val="22"/>
        </w:rPr>
        <w:t xml:space="preserve">of </w:t>
      </w:r>
      <w:r w:rsidR="00937079" w:rsidRPr="00937079">
        <w:rPr>
          <w:sz w:val="22"/>
          <w:szCs w:val="22"/>
        </w:rPr>
        <w:t>a larger DAI field to accommodate for possibly missing more than 4 PDSCH transmissions</w:t>
      </w:r>
      <w:r w:rsidR="00937079">
        <w:rPr>
          <w:sz w:val="22"/>
          <w:szCs w:val="22"/>
        </w:rPr>
        <w:t xml:space="preserve"> can be considered</w:t>
      </w:r>
      <w:r w:rsidR="004D706E">
        <w:rPr>
          <w:sz w:val="22"/>
          <w:szCs w:val="22"/>
        </w:rPr>
        <w:t xml:space="preserve"> as agreed during SI</w:t>
      </w:r>
      <w:r w:rsidR="00937079">
        <w:rPr>
          <w:sz w:val="22"/>
          <w:szCs w:val="22"/>
        </w:rPr>
        <w:t>.</w:t>
      </w:r>
      <w:r w:rsidR="00026013">
        <w:rPr>
          <w:sz w:val="22"/>
          <w:szCs w:val="22"/>
        </w:rPr>
        <w:t xml:space="preserve"> </w:t>
      </w:r>
      <w:r w:rsidR="00937371">
        <w:rPr>
          <w:sz w:val="22"/>
          <w:szCs w:val="22"/>
        </w:rPr>
        <w:t>However, since NR supports wider CC bandwidth such as 100MHz</w:t>
      </w:r>
      <w:r w:rsidR="002E4F2C" w:rsidRPr="002E4F2C">
        <w:rPr>
          <w:sz w:val="22"/>
          <w:szCs w:val="22"/>
        </w:rPr>
        <w:t xml:space="preserve"> </w:t>
      </w:r>
      <w:r w:rsidR="002E4F2C">
        <w:rPr>
          <w:sz w:val="22"/>
          <w:szCs w:val="22"/>
        </w:rPr>
        <w:t>as discussed in section 2.1</w:t>
      </w:r>
      <w:r w:rsidR="00937371">
        <w:rPr>
          <w:sz w:val="22"/>
          <w:szCs w:val="22"/>
        </w:rPr>
        <w:t xml:space="preserve">, it is possible to use only a few number of DL CCs </w:t>
      </w:r>
      <w:r w:rsidR="009375A2">
        <w:rPr>
          <w:sz w:val="22"/>
          <w:szCs w:val="22"/>
        </w:rPr>
        <w:t xml:space="preserve">to cover wide unlicensed spectrum, different from LTE-LAA case. </w:t>
      </w:r>
      <w:r w:rsidR="002E4F2C">
        <w:rPr>
          <w:sz w:val="22"/>
          <w:szCs w:val="22"/>
        </w:rPr>
        <w:t>In such case, missing more than 4 PDSCH transmissions may not need to be considered, and semi-static HARQ codebook can be used even if missing more than 4 PDSCH transmissions is concerned. Therefore, we propose to not extend DAI field for NR-U in Rel-16.</w:t>
      </w:r>
    </w:p>
    <w:p w14:paraId="48CECBBE" w14:textId="0D256D21" w:rsidR="002E4F2C" w:rsidRDefault="002E4F2C" w:rsidP="002E4F2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 xml:space="preserve">NR-U reuses Rel-15 design of </w:t>
      </w:r>
      <w:r w:rsidR="001D15F2">
        <w:rPr>
          <w:rFonts w:eastAsia="游明朝"/>
          <w:b/>
          <w:sz w:val="22"/>
          <w:szCs w:val="22"/>
        </w:rPr>
        <w:t>d</w:t>
      </w:r>
      <w:r>
        <w:rPr>
          <w:rFonts w:eastAsia="游明朝"/>
          <w:b/>
          <w:sz w:val="22"/>
          <w:szCs w:val="22"/>
        </w:rPr>
        <w:t>ownlink assignment index.</w:t>
      </w:r>
    </w:p>
    <w:p w14:paraId="1DD4DAB4" w14:textId="77777777" w:rsidR="00D83B86" w:rsidRPr="002E4F2C" w:rsidRDefault="00D83B86" w:rsidP="005C7976">
      <w:pPr>
        <w:spacing w:afterLines="50" w:after="120"/>
        <w:rPr>
          <w:sz w:val="22"/>
          <w:szCs w:val="22"/>
        </w:rPr>
      </w:pPr>
    </w:p>
    <w:p w14:paraId="33F6E87D" w14:textId="77777777" w:rsidR="00D90DCB" w:rsidRPr="00C83F95" w:rsidRDefault="00D90DCB" w:rsidP="005C7976">
      <w:pPr>
        <w:spacing w:afterLines="50" w:after="120"/>
        <w:rPr>
          <w:sz w:val="22"/>
          <w:szCs w:val="22"/>
        </w:rPr>
      </w:pPr>
    </w:p>
    <w:p w14:paraId="15E7216E" w14:textId="59588684" w:rsidR="00571CC5" w:rsidRPr="00EA4CFF" w:rsidRDefault="002E4F2C" w:rsidP="00571CC5">
      <w:pPr>
        <w:pStyle w:val="2"/>
        <w:rPr>
          <w:sz w:val="22"/>
          <w:szCs w:val="22"/>
        </w:rPr>
      </w:pPr>
      <w:r>
        <w:rPr>
          <w:rFonts w:hint="eastAsia"/>
          <w:sz w:val="22"/>
          <w:szCs w:val="22"/>
        </w:rPr>
        <w:t>2.4</w:t>
      </w:r>
      <w:r w:rsidR="00571CC5">
        <w:rPr>
          <w:rFonts w:hint="eastAsia"/>
          <w:sz w:val="22"/>
          <w:szCs w:val="22"/>
        </w:rPr>
        <w:tab/>
      </w:r>
      <w:r w:rsidR="00571CC5">
        <w:rPr>
          <w:sz w:val="22"/>
          <w:szCs w:val="22"/>
        </w:rPr>
        <w:t>Scheduling of multiple TTIs for PUSCH</w:t>
      </w:r>
    </w:p>
    <w:p w14:paraId="29F12BAC" w14:textId="3DA2575F" w:rsidR="00F008CE" w:rsidRDefault="00852B7A" w:rsidP="00F008CE">
      <w:pPr>
        <w:spacing w:afterLines="50" w:after="120"/>
        <w:rPr>
          <w:sz w:val="22"/>
          <w:szCs w:val="22"/>
          <w:lang w:val="en-US"/>
        </w:rPr>
      </w:pPr>
      <w:r>
        <w:rPr>
          <w:sz w:val="22"/>
          <w:szCs w:val="22"/>
          <w:lang w:val="en-US"/>
        </w:rPr>
        <w:t xml:space="preserve">Regarding the scheduling of multiple TTIs for PUSCH, </w:t>
      </w:r>
      <w:r w:rsidR="00F008CE">
        <w:rPr>
          <w:sz w:val="22"/>
          <w:szCs w:val="22"/>
          <w:lang w:val="en-US"/>
        </w:rPr>
        <w:t>following is captured in the section 7.2.1.3.3 of TR38.889 [2].</w:t>
      </w:r>
    </w:p>
    <w:tbl>
      <w:tblPr>
        <w:tblStyle w:val="afa"/>
        <w:tblW w:w="0" w:type="auto"/>
        <w:tblLook w:val="04A0" w:firstRow="1" w:lastRow="0" w:firstColumn="1" w:lastColumn="0" w:noHBand="0" w:noVBand="1"/>
      </w:tblPr>
      <w:tblGrid>
        <w:gridCol w:w="9962"/>
      </w:tblGrid>
      <w:tr w:rsidR="00852B7A" w14:paraId="116692AE" w14:textId="77777777" w:rsidTr="00852B7A">
        <w:tc>
          <w:tcPr>
            <w:tcW w:w="9962" w:type="dxa"/>
          </w:tcPr>
          <w:p w14:paraId="151CEAC0" w14:textId="1721291F" w:rsidR="00852B7A" w:rsidRPr="00852B7A" w:rsidRDefault="00852B7A" w:rsidP="00852B7A">
            <w:pPr>
              <w:rPr>
                <w:rFonts w:eastAsia="SimSun"/>
                <w:sz w:val="20"/>
                <w:lang w:eastAsia="x-none"/>
              </w:rPr>
            </w:pPr>
            <w:r w:rsidRPr="00852B7A">
              <w:rPr>
                <w:rFonts w:eastAsia="SimSun"/>
                <w:sz w:val="20"/>
                <w:lang w:eastAsia="x-none"/>
              </w:rPr>
              <w:t>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p>
        </w:tc>
      </w:tr>
    </w:tbl>
    <w:p w14:paraId="7F7E6781" w14:textId="7E7169B3" w:rsidR="00C7171B" w:rsidRPr="00852B7A" w:rsidRDefault="00C7171B" w:rsidP="005C7976">
      <w:pPr>
        <w:spacing w:afterLines="50" w:after="120"/>
        <w:rPr>
          <w:sz w:val="22"/>
          <w:szCs w:val="22"/>
          <w:lang w:val="en-US"/>
        </w:rPr>
      </w:pPr>
    </w:p>
    <w:p w14:paraId="5FF0F6E1" w14:textId="3A6CE14F" w:rsidR="00DA6A8C" w:rsidRDefault="00852B7A" w:rsidP="005C7976">
      <w:pPr>
        <w:spacing w:afterLines="50" w:after="120"/>
        <w:rPr>
          <w:sz w:val="22"/>
          <w:szCs w:val="22"/>
        </w:rPr>
      </w:pPr>
      <w:r>
        <w:rPr>
          <w:rFonts w:hint="eastAsia"/>
          <w:sz w:val="22"/>
          <w:szCs w:val="22"/>
        </w:rPr>
        <w:t xml:space="preserve">Scheduling multiple TTIs for PUSCH using a single UL grant is supported in </w:t>
      </w:r>
      <w:r>
        <w:rPr>
          <w:sz w:val="22"/>
          <w:szCs w:val="22"/>
        </w:rPr>
        <w:t>LTE-LAA, and it is beneficial to schedule PUSCH in UE-initiated COT since the single UL grant provides multiple possible PUSCH starting points. In other words, even when PUSCH transmission in the first scheduled slot is failed due to LBT busy, UE can try PUSCH transmission in the next scheduled slot</w:t>
      </w:r>
      <w:r w:rsidR="00E537CA">
        <w:rPr>
          <w:sz w:val="22"/>
          <w:szCs w:val="22"/>
        </w:rPr>
        <w:t xml:space="preserve"> without UL grant again.</w:t>
      </w:r>
    </w:p>
    <w:p w14:paraId="7E0C5DE0" w14:textId="72CD5A5A" w:rsidR="00E537CA" w:rsidRDefault="00E537CA" w:rsidP="005C7976">
      <w:pPr>
        <w:spacing w:afterLines="50" w:after="120"/>
        <w:rPr>
          <w:sz w:val="22"/>
          <w:szCs w:val="22"/>
        </w:rPr>
      </w:pPr>
      <w:bookmarkStart w:id="6" w:name="_GoBack"/>
      <w:bookmarkEnd w:id="6"/>
      <w:r>
        <w:rPr>
          <w:sz w:val="22"/>
          <w:szCs w:val="22"/>
        </w:rPr>
        <w:lastRenderedPageBreak/>
        <w:t>On the other hand, although s</w:t>
      </w:r>
      <w:r w:rsidRPr="00E537CA">
        <w:rPr>
          <w:sz w:val="22"/>
          <w:szCs w:val="22"/>
        </w:rPr>
        <w:t>cheduling multiple TTIs for PUSCH each using a separate UL grant in the same PDCCH monitoring occasion</w:t>
      </w:r>
      <w:r>
        <w:rPr>
          <w:sz w:val="22"/>
          <w:szCs w:val="22"/>
        </w:rPr>
        <w:t xml:space="preserve"> can achieve same benefit for acquiring the UE-initiated COT, detecting multiple UL grant in the same PDCCH monitoring occasion would increase UE burden. </w:t>
      </w:r>
    </w:p>
    <w:p w14:paraId="4B1015CC" w14:textId="49A72C25" w:rsidR="00845F29" w:rsidRDefault="00845F29" w:rsidP="005C7976">
      <w:pPr>
        <w:spacing w:afterLines="50" w:after="120"/>
        <w:rPr>
          <w:sz w:val="22"/>
          <w:szCs w:val="22"/>
        </w:rPr>
      </w:pPr>
      <w:r>
        <w:rPr>
          <w:sz w:val="22"/>
          <w:szCs w:val="22"/>
        </w:rPr>
        <w:t xml:space="preserve">Therefore, we propose to support the </w:t>
      </w:r>
      <w:r>
        <w:rPr>
          <w:rFonts w:hint="eastAsia"/>
          <w:sz w:val="22"/>
          <w:szCs w:val="22"/>
        </w:rPr>
        <w:t xml:space="preserve">scheduling </w:t>
      </w:r>
      <w:r>
        <w:rPr>
          <w:sz w:val="22"/>
          <w:szCs w:val="22"/>
        </w:rPr>
        <w:t xml:space="preserve">of </w:t>
      </w:r>
      <w:r>
        <w:rPr>
          <w:rFonts w:hint="eastAsia"/>
          <w:sz w:val="22"/>
          <w:szCs w:val="22"/>
        </w:rPr>
        <w:t>multiple TTIs for PUSCH using a single UL grant</w:t>
      </w:r>
      <w:r>
        <w:rPr>
          <w:sz w:val="22"/>
          <w:szCs w:val="22"/>
        </w:rPr>
        <w:t xml:space="preserve"> for NR-U. D</w:t>
      </w:r>
      <w:r w:rsidR="00E27E88">
        <w:rPr>
          <w:sz w:val="22"/>
          <w:szCs w:val="22"/>
        </w:rPr>
        <w:t>etailed UL grant</w:t>
      </w:r>
      <w:r>
        <w:rPr>
          <w:sz w:val="22"/>
          <w:szCs w:val="22"/>
        </w:rPr>
        <w:t xml:space="preserve"> design should be discussed once o</w:t>
      </w:r>
      <w:r w:rsidR="00E27E88">
        <w:rPr>
          <w:sz w:val="22"/>
          <w:szCs w:val="22"/>
        </w:rPr>
        <w:t>ther contents necessary for UL grant in NR-U are identified.</w:t>
      </w:r>
    </w:p>
    <w:p w14:paraId="78D76A65" w14:textId="6A41A9A0" w:rsidR="00E27E88" w:rsidRDefault="00E27E88" w:rsidP="00E27E8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the scheduling of multiple TTIs for PUSCH using a single UL grant</w:t>
      </w:r>
      <w:r>
        <w:rPr>
          <w:rFonts w:eastAsia="游明朝"/>
          <w:b/>
          <w:sz w:val="22"/>
          <w:szCs w:val="22"/>
        </w:rPr>
        <w:t>.</w:t>
      </w:r>
    </w:p>
    <w:p w14:paraId="7E9FAB71" w14:textId="0A3AEE83" w:rsidR="00852B7A" w:rsidRPr="00571CC5" w:rsidRDefault="00852B7A" w:rsidP="005C7976">
      <w:pPr>
        <w:spacing w:afterLines="50" w:after="120"/>
        <w:rPr>
          <w:sz w:val="22"/>
          <w:szCs w:val="22"/>
        </w:rPr>
      </w:pPr>
    </w:p>
    <w:p w14:paraId="66DF6947" w14:textId="77777777" w:rsidR="00C7171B" w:rsidRPr="00F12B9D" w:rsidRDefault="00C7171B" w:rsidP="005C7976">
      <w:pPr>
        <w:spacing w:afterLines="50" w:after="120"/>
        <w:rPr>
          <w:sz w:val="22"/>
          <w:szCs w:val="22"/>
        </w:rPr>
      </w:pPr>
    </w:p>
    <w:p w14:paraId="065BB26F" w14:textId="734E9430" w:rsidR="00571CC5" w:rsidRPr="00EA4CFF" w:rsidRDefault="002E4F2C" w:rsidP="00571CC5">
      <w:pPr>
        <w:pStyle w:val="2"/>
        <w:rPr>
          <w:sz w:val="22"/>
          <w:szCs w:val="22"/>
        </w:rPr>
      </w:pPr>
      <w:r>
        <w:rPr>
          <w:rFonts w:hint="eastAsia"/>
          <w:sz w:val="22"/>
          <w:szCs w:val="22"/>
        </w:rPr>
        <w:t>2.5</w:t>
      </w:r>
      <w:r w:rsidR="00571CC5">
        <w:rPr>
          <w:rFonts w:hint="eastAsia"/>
          <w:sz w:val="22"/>
          <w:szCs w:val="22"/>
        </w:rPr>
        <w:tab/>
      </w:r>
      <w:r w:rsidR="00571CC5">
        <w:rPr>
          <w:sz w:val="22"/>
          <w:szCs w:val="22"/>
        </w:rPr>
        <w:t>How to adjust the contention window size in case of CBG-based HARQ and LBT category 4</w:t>
      </w:r>
    </w:p>
    <w:p w14:paraId="53C8CD34" w14:textId="134A3ABD" w:rsidR="0032412C" w:rsidRDefault="0032412C" w:rsidP="0032412C">
      <w:pPr>
        <w:spacing w:afterLines="50" w:after="120"/>
        <w:rPr>
          <w:sz w:val="22"/>
          <w:szCs w:val="22"/>
          <w:lang w:val="en-US"/>
        </w:rPr>
      </w:pPr>
      <w:r>
        <w:rPr>
          <w:sz w:val="22"/>
          <w:szCs w:val="22"/>
          <w:lang w:val="en-US"/>
        </w:rPr>
        <w:t>Regarding the CWS adjustment in case of CBG-based HARQ, following is captured in the section 7.2.1.3.3 of TR38.889 [2].</w:t>
      </w:r>
    </w:p>
    <w:tbl>
      <w:tblPr>
        <w:tblStyle w:val="afa"/>
        <w:tblW w:w="0" w:type="auto"/>
        <w:tblLook w:val="04A0" w:firstRow="1" w:lastRow="0" w:firstColumn="1" w:lastColumn="0" w:noHBand="0" w:noVBand="1"/>
      </w:tblPr>
      <w:tblGrid>
        <w:gridCol w:w="9962"/>
      </w:tblGrid>
      <w:tr w:rsidR="0032412C" w14:paraId="00BF958B" w14:textId="77777777" w:rsidTr="00662AD0">
        <w:tc>
          <w:tcPr>
            <w:tcW w:w="9962" w:type="dxa"/>
          </w:tcPr>
          <w:p w14:paraId="597536AE" w14:textId="387AF506" w:rsidR="0032412C" w:rsidRPr="0032412C" w:rsidRDefault="0032412C" w:rsidP="00662AD0">
            <w:pPr>
              <w:rPr>
                <w:rFonts w:eastAsia="SimSun"/>
                <w:b/>
                <w:sz w:val="20"/>
                <w:u w:val="single"/>
                <w:lang w:val="en-US" w:eastAsia="x-none"/>
              </w:rPr>
            </w:pPr>
            <w:r w:rsidRPr="0032412C">
              <w:rPr>
                <w:rFonts w:eastAsia="SimSun"/>
                <w:sz w:val="20"/>
                <w:lang w:val="en-US" w:eastAsia="x-none"/>
              </w:rPr>
              <w:t>In case of CBG-based HARQ and LBT category 4, enhancements for defining how to adjust the contention window size (CWS) based on TB-level HARQ-ACK and CBG-level HARQ-ACK would be beneficial.</w:t>
            </w:r>
          </w:p>
        </w:tc>
      </w:tr>
    </w:tbl>
    <w:p w14:paraId="50D8B14A" w14:textId="77777777" w:rsidR="0032412C" w:rsidRPr="00852B7A" w:rsidRDefault="0032412C" w:rsidP="0032412C">
      <w:pPr>
        <w:spacing w:afterLines="50" w:after="120"/>
        <w:rPr>
          <w:sz w:val="22"/>
          <w:szCs w:val="22"/>
          <w:lang w:val="en-US"/>
        </w:rPr>
      </w:pPr>
    </w:p>
    <w:p w14:paraId="4E8FD5EC" w14:textId="22A75675" w:rsidR="007C14FB" w:rsidRPr="0032412C" w:rsidRDefault="00315E8C" w:rsidP="005C7976">
      <w:pPr>
        <w:spacing w:afterLines="50" w:after="120"/>
        <w:rPr>
          <w:sz w:val="22"/>
          <w:szCs w:val="22"/>
          <w:lang w:val="en-US"/>
        </w:rPr>
      </w:pPr>
      <w:r>
        <w:rPr>
          <w:rFonts w:hint="eastAsia"/>
          <w:sz w:val="22"/>
          <w:szCs w:val="22"/>
          <w:lang w:val="en-US"/>
        </w:rPr>
        <w:t xml:space="preserve">The CWS adjustment based on HARQ feedback intends to take </w:t>
      </w:r>
      <w:r>
        <w:rPr>
          <w:sz w:val="22"/>
          <w:szCs w:val="22"/>
          <w:lang w:val="en-US"/>
        </w:rPr>
        <w:t xml:space="preserve">NACK due to </w:t>
      </w:r>
      <w:r>
        <w:rPr>
          <w:rFonts w:hint="eastAsia"/>
          <w:sz w:val="22"/>
          <w:szCs w:val="22"/>
          <w:lang w:val="en-US"/>
        </w:rPr>
        <w:t>possible collision</w:t>
      </w:r>
      <w:r>
        <w:rPr>
          <w:sz w:val="22"/>
          <w:szCs w:val="22"/>
          <w:lang w:val="en-US"/>
        </w:rPr>
        <w:t xml:space="preserve"> into account for CWS adjustment. </w:t>
      </w:r>
      <w:r w:rsidR="009B56A7">
        <w:rPr>
          <w:sz w:val="22"/>
          <w:szCs w:val="22"/>
          <w:lang w:val="en-US"/>
        </w:rPr>
        <w:t>The collision here means that nodes that are closely located each other start transmission at the same time and provide strong interference each other until at least one of the nodes ends its transmission. TB-level HARQ-ACK would reflect such collision situation and CBG-level HARQ-ACK would not need to be considered</w:t>
      </w:r>
      <w:r w:rsidR="00E010EA">
        <w:rPr>
          <w:sz w:val="22"/>
          <w:szCs w:val="22"/>
          <w:lang w:val="en-US"/>
        </w:rPr>
        <w:t xml:space="preserve"> for the CWS adjustment.</w:t>
      </w:r>
    </w:p>
    <w:p w14:paraId="0AC05FFF" w14:textId="6A767120" w:rsidR="009B56A7" w:rsidRDefault="009B56A7" w:rsidP="009B56A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 xml:space="preserve">the </w:t>
      </w:r>
      <w:r>
        <w:rPr>
          <w:rFonts w:eastAsia="游明朝"/>
          <w:b/>
          <w:sz w:val="22"/>
          <w:szCs w:val="22"/>
        </w:rPr>
        <w:t>CWS adjustment based on TB-level HARQ ACK.</w:t>
      </w:r>
    </w:p>
    <w:p w14:paraId="67DC9850" w14:textId="77777777" w:rsidR="00571CC5" w:rsidRPr="009B56A7" w:rsidRDefault="00571CC5" w:rsidP="005C7976">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5F44CDFC" w14:textId="74A62851" w:rsidR="00D90DCB" w:rsidRDefault="00D90DCB" w:rsidP="00D90DC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The channel access scheme for HARQ A/N transmission on PUCCH </w:t>
      </w:r>
      <w:r w:rsidR="007F2C1B">
        <w:rPr>
          <w:rFonts w:eastAsia="游明朝"/>
          <w:b/>
          <w:sz w:val="22"/>
          <w:szCs w:val="22"/>
        </w:rPr>
        <w:t xml:space="preserve">within a same shared COT </w:t>
      </w:r>
      <w:r>
        <w:rPr>
          <w:rFonts w:eastAsia="游明朝"/>
          <w:b/>
          <w:sz w:val="22"/>
          <w:szCs w:val="22"/>
        </w:rPr>
        <w:t>is indicated in the scheduling DCI.</w:t>
      </w:r>
    </w:p>
    <w:p w14:paraId="6D41056E" w14:textId="77777777" w:rsidR="00626E0F" w:rsidRDefault="00626E0F" w:rsidP="00626E0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NR-U reuses Rel-15 design of </w:t>
      </w:r>
      <w:r w:rsidRPr="00626E0F">
        <w:rPr>
          <w:rFonts w:eastAsia="游明朝"/>
          <w:b/>
          <w:sz w:val="22"/>
          <w:szCs w:val="22"/>
        </w:rPr>
        <w:t>PDSCH-to-HARQ feedback timing indicator</w:t>
      </w:r>
      <w:r>
        <w:rPr>
          <w:rFonts w:eastAsia="游明朝"/>
          <w:b/>
          <w:sz w:val="22"/>
          <w:szCs w:val="22"/>
        </w:rPr>
        <w:t>.</w:t>
      </w:r>
    </w:p>
    <w:p w14:paraId="19B7EC3E" w14:textId="77777777" w:rsidR="002E4F2C" w:rsidRDefault="002E4F2C" w:rsidP="002E4F2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Following mechanism is supported for HARQ A/N transmission in a separate COT from the one the corresponding data was transmitted.</w:t>
      </w:r>
    </w:p>
    <w:p w14:paraId="3FEECC48" w14:textId="08198B26" w:rsidR="002E4F2C" w:rsidRDefault="002E4F2C" w:rsidP="002E4F2C">
      <w:pPr>
        <w:pStyle w:val="afc"/>
        <w:numPr>
          <w:ilvl w:val="0"/>
          <w:numId w:val="17"/>
        </w:numPr>
        <w:spacing w:afterLines="50" w:after="120"/>
        <w:ind w:leftChars="0"/>
        <w:jc w:val="both"/>
        <w:rPr>
          <w:rFonts w:eastAsia="游明朝"/>
          <w:b/>
          <w:sz w:val="22"/>
          <w:szCs w:val="22"/>
        </w:rPr>
      </w:pPr>
      <w:r>
        <w:rPr>
          <w:rFonts w:eastAsia="游明朝" w:hint="eastAsia"/>
          <w:b/>
          <w:sz w:val="22"/>
          <w:szCs w:val="22"/>
        </w:rPr>
        <w:t xml:space="preserve">The scheduling DCI indicates that </w:t>
      </w:r>
      <w:r w:rsidRPr="00990DC2">
        <w:rPr>
          <w:rFonts w:eastAsia="游明朝"/>
          <w:b/>
          <w:sz w:val="22"/>
          <w:szCs w:val="22"/>
        </w:rPr>
        <w:t>HARQ A/N has to be transmitted in a separate COT and resource/timing for the HARQ A/N transmission will be determined later</w:t>
      </w:r>
      <w:r>
        <w:rPr>
          <w:rFonts w:eastAsia="游明朝"/>
          <w:b/>
          <w:sz w:val="22"/>
          <w:szCs w:val="22"/>
        </w:rPr>
        <w:t xml:space="preserve">, instead of </w:t>
      </w:r>
      <w:r w:rsidRPr="00990DC2">
        <w:rPr>
          <w:rFonts w:eastAsia="游明朝"/>
          <w:b/>
          <w:sz w:val="22"/>
          <w:szCs w:val="22"/>
        </w:rPr>
        <w:t xml:space="preserve">PDSCH-to-HARQ-timing indication </w:t>
      </w:r>
      <w:r>
        <w:rPr>
          <w:rFonts w:eastAsia="游明朝"/>
          <w:b/>
          <w:sz w:val="22"/>
          <w:szCs w:val="22"/>
        </w:rPr>
        <w:t>and/</w:t>
      </w:r>
      <w:r w:rsidRPr="00990DC2">
        <w:rPr>
          <w:rFonts w:eastAsia="游明朝"/>
          <w:b/>
          <w:sz w:val="22"/>
          <w:szCs w:val="22"/>
        </w:rPr>
        <w:t>or LBT mechanism indication</w:t>
      </w:r>
      <w:r>
        <w:rPr>
          <w:rFonts w:eastAsia="游明朝"/>
          <w:b/>
          <w:sz w:val="22"/>
          <w:szCs w:val="22"/>
        </w:rPr>
        <w:t>.</w:t>
      </w:r>
    </w:p>
    <w:p w14:paraId="5F71A73D" w14:textId="77777777" w:rsidR="009B56A7" w:rsidRPr="00990DC2" w:rsidRDefault="009B56A7" w:rsidP="009B56A7">
      <w:pPr>
        <w:pStyle w:val="afc"/>
        <w:numPr>
          <w:ilvl w:val="0"/>
          <w:numId w:val="17"/>
        </w:numPr>
        <w:spacing w:afterLines="50" w:after="120"/>
        <w:ind w:leftChars="0"/>
        <w:jc w:val="both"/>
        <w:rPr>
          <w:rFonts w:eastAsia="游明朝"/>
          <w:b/>
          <w:sz w:val="22"/>
          <w:szCs w:val="22"/>
        </w:rPr>
      </w:pPr>
      <w:r>
        <w:rPr>
          <w:rFonts w:eastAsia="游明朝"/>
          <w:b/>
          <w:sz w:val="22"/>
          <w:szCs w:val="22"/>
        </w:rPr>
        <w:t>Another DCI in the same or in another COT provides exact HARQ feedback timing/</w:t>
      </w:r>
      <w:r w:rsidRPr="003423C6">
        <w:rPr>
          <w:rFonts w:eastAsia="游明朝"/>
          <w:b/>
          <w:sz w:val="22"/>
          <w:szCs w:val="22"/>
        </w:rPr>
        <w:t>resource</w:t>
      </w:r>
      <w:r>
        <w:rPr>
          <w:rFonts w:eastAsia="游明朝"/>
          <w:b/>
          <w:sz w:val="22"/>
          <w:szCs w:val="22"/>
        </w:rPr>
        <w:t xml:space="preserve"> and potentially corresponding HARQ process ID.</w:t>
      </w:r>
    </w:p>
    <w:p w14:paraId="6DCACF10" w14:textId="77777777" w:rsidR="00DF0177" w:rsidRPr="00DF0177" w:rsidRDefault="00DF0177" w:rsidP="00DF0177">
      <w:pPr>
        <w:spacing w:afterLines="50" w:after="120"/>
        <w:jc w:val="both"/>
        <w:rPr>
          <w:rFonts w:eastAsia="游明朝"/>
          <w:b/>
          <w:sz w:val="22"/>
          <w:szCs w:val="22"/>
        </w:rPr>
      </w:pPr>
      <w:r w:rsidRPr="00DF0177">
        <w:rPr>
          <w:rFonts w:eastAsia="游明朝"/>
          <w:b/>
          <w:sz w:val="22"/>
          <w:szCs w:val="22"/>
          <w:u w:val="single"/>
        </w:rPr>
        <w:t>Proposal</w:t>
      </w:r>
      <w:r w:rsidRPr="00DF0177">
        <w:rPr>
          <w:rFonts w:eastAsia="游明朝" w:hint="eastAsia"/>
          <w:b/>
          <w:sz w:val="22"/>
          <w:szCs w:val="22"/>
          <w:u w:val="single"/>
        </w:rPr>
        <w:t xml:space="preserve"> 4</w:t>
      </w:r>
      <w:r w:rsidRPr="00DF0177">
        <w:rPr>
          <w:rFonts w:eastAsia="游明朝" w:hint="eastAsia"/>
          <w:b/>
          <w:sz w:val="22"/>
          <w:szCs w:val="22"/>
        </w:rPr>
        <w:t xml:space="preserve">: </w:t>
      </w:r>
      <w:r w:rsidRPr="00DF0177">
        <w:rPr>
          <w:rFonts w:eastAsia="游明朝"/>
          <w:b/>
          <w:sz w:val="22"/>
          <w:szCs w:val="22"/>
        </w:rPr>
        <w:t>NR-U reuses Rel-15 design of downlink assignment index.</w:t>
      </w:r>
    </w:p>
    <w:p w14:paraId="7615171C" w14:textId="77777777" w:rsidR="0032412C" w:rsidRDefault="0032412C" w:rsidP="0032412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the scheduling of multiple TTIs for PUSCH using a single UL grant</w:t>
      </w:r>
      <w:r>
        <w:rPr>
          <w:rFonts w:eastAsia="游明朝"/>
          <w:b/>
          <w:sz w:val="22"/>
          <w:szCs w:val="22"/>
        </w:rPr>
        <w:t>.</w:t>
      </w:r>
    </w:p>
    <w:p w14:paraId="52B3D341" w14:textId="77777777" w:rsidR="009B56A7" w:rsidRDefault="009B56A7" w:rsidP="009B56A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 xml:space="preserve">the </w:t>
      </w:r>
      <w:r>
        <w:rPr>
          <w:rFonts w:eastAsia="游明朝"/>
          <w:b/>
          <w:sz w:val="22"/>
          <w:szCs w:val="22"/>
        </w:rPr>
        <w:t>CWS adjustment based on TB-level HARQ ACK.</w:t>
      </w:r>
    </w:p>
    <w:p w14:paraId="78761C00" w14:textId="25064673" w:rsidR="00F624AE" w:rsidRPr="009B56A7" w:rsidRDefault="00F624AE" w:rsidP="000C5DD6">
      <w:pPr>
        <w:jc w:val="both"/>
      </w:pPr>
    </w:p>
    <w:p w14:paraId="7CC98230" w14:textId="77777777" w:rsidR="008D1885" w:rsidRPr="008D1885"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822518B" w14:textId="5EBBA6C7" w:rsidR="009517C5" w:rsidRDefault="00484F06" w:rsidP="009517C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9517C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2EFE0" w14:textId="77777777" w:rsidR="004D3D34" w:rsidRDefault="004D3D34">
      <w:r>
        <w:separator/>
      </w:r>
    </w:p>
  </w:endnote>
  <w:endnote w:type="continuationSeparator" w:id="0">
    <w:p w14:paraId="10DC12E6" w14:textId="77777777" w:rsidR="004D3D34" w:rsidRDefault="004D3D34">
      <w:r>
        <w:continuationSeparator/>
      </w:r>
    </w:p>
  </w:endnote>
  <w:endnote w:type="continuationNotice" w:id="1">
    <w:p w14:paraId="222D887B" w14:textId="77777777" w:rsidR="004D3D34" w:rsidRDefault="004D3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17EBF8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62D2C">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62D2C">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29D8" w14:textId="77777777" w:rsidR="004D3D34" w:rsidRDefault="004D3D34">
      <w:r>
        <w:separator/>
      </w:r>
    </w:p>
  </w:footnote>
  <w:footnote w:type="continuationSeparator" w:id="0">
    <w:p w14:paraId="24675BD9" w14:textId="77777777" w:rsidR="004D3D34" w:rsidRDefault="004D3D34">
      <w:r>
        <w:continuationSeparator/>
      </w:r>
    </w:p>
  </w:footnote>
  <w:footnote w:type="continuationNotice" w:id="1">
    <w:p w14:paraId="7D2225B7" w14:textId="77777777" w:rsidR="004D3D34" w:rsidRDefault="004D3D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3"/>
  </w:num>
  <w:num w:numId="5">
    <w:abstractNumId w:val="17"/>
  </w:num>
  <w:num w:numId="6">
    <w:abstractNumId w:val="11"/>
  </w:num>
  <w:num w:numId="7">
    <w:abstractNumId w:val="16"/>
  </w:num>
  <w:num w:numId="8">
    <w:abstractNumId w:val="2"/>
  </w:num>
  <w:num w:numId="9">
    <w:abstractNumId w:val="9"/>
  </w:num>
  <w:num w:numId="10">
    <w:abstractNumId w:val="6"/>
  </w:num>
  <w:num w:numId="11">
    <w:abstractNumId w:val="12"/>
  </w:num>
  <w:num w:numId="12">
    <w:abstractNumId w:val="15"/>
  </w:num>
  <w:num w:numId="13">
    <w:abstractNumId w:val="14"/>
  </w:num>
  <w:num w:numId="14">
    <w:abstractNumId w:val="1"/>
  </w:num>
  <w:num w:numId="15">
    <w:abstractNumId w:val="10"/>
  </w:num>
  <w:num w:numId="16">
    <w:abstractNumId w:val="4"/>
  </w:num>
  <w:num w:numId="17">
    <w:abstractNumId w:val="18"/>
  </w:num>
  <w:num w:numId="18">
    <w:abstractNumId w:val="7"/>
  </w:num>
  <w:num w:numId="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CEF7B-516D-4844-AC20-40C3C3F1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3868</Words>
  <Characters>20581</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2019-01-11T09:07:00Z</dcterms:created>
  <dcterms:modified xsi:type="dcterms:W3CDTF">2019-01-11T09:07:00Z</dcterms:modified>
</cp:coreProperties>
</file>